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8033" w14:textId="77777777" w:rsidR="00C51E90" w:rsidRPr="00990EF1" w:rsidRDefault="00CE6B40" w:rsidP="00990EF1">
      <w:pPr>
        <w:pStyle w:val="CM1"/>
        <w:jc w:val="center"/>
        <w:rPr>
          <w:color w:val="000000"/>
          <w:sz w:val="44"/>
          <w:szCs w:val="44"/>
        </w:rPr>
      </w:pPr>
      <w:bookmarkStart w:id="0" w:name="_Hlk75434984"/>
      <w:r w:rsidRPr="00990EF1">
        <w:rPr>
          <w:color w:val="000000"/>
          <w:sz w:val="44"/>
          <w:szCs w:val="44"/>
        </w:rPr>
        <w:t>INVOLUNTARY OUTPATIENT COMMITMENT</w:t>
      </w:r>
      <w:r w:rsidR="00C51E90" w:rsidRPr="00990EF1">
        <w:rPr>
          <w:color w:val="000000"/>
          <w:sz w:val="44"/>
          <w:szCs w:val="44"/>
        </w:rPr>
        <w:t xml:space="preserve"> </w:t>
      </w:r>
    </w:p>
    <w:p w14:paraId="2167526A" w14:textId="678C1EA3" w:rsidR="00FC1985" w:rsidRPr="00990EF1" w:rsidRDefault="00990EF1" w:rsidP="00990EF1">
      <w:pPr>
        <w:pStyle w:val="Default"/>
        <w:jc w:val="center"/>
        <w:rPr>
          <w:sz w:val="32"/>
          <w:szCs w:val="32"/>
        </w:rPr>
      </w:pPr>
      <w:r>
        <w:tab/>
      </w:r>
      <w:r w:rsidR="00C51E90" w:rsidRPr="00990EF1">
        <w:rPr>
          <w:sz w:val="32"/>
          <w:szCs w:val="32"/>
        </w:rPr>
        <w:t>A Legal and Policy Analy</w:t>
      </w:r>
      <w:r w:rsidR="002B2BB2">
        <w:rPr>
          <w:sz w:val="32"/>
          <w:szCs w:val="32"/>
        </w:rPr>
        <w:t>s</w:t>
      </w:r>
      <w:r w:rsidR="00C51E90" w:rsidRPr="00990EF1">
        <w:rPr>
          <w:sz w:val="32"/>
          <w:szCs w:val="32"/>
        </w:rPr>
        <w:t>is</w:t>
      </w:r>
      <w:bookmarkEnd w:id="0"/>
    </w:p>
    <w:p w14:paraId="75C84D34" w14:textId="72697D84" w:rsidR="00A13BCC" w:rsidRDefault="00990EF1" w:rsidP="00732CE8">
      <w:pPr>
        <w:pStyle w:val="NoSpacing"/>
        <w:rPr>
          <w:rFonts w:ascii="Times New Roman" w:hAnsi="Times New Roman"/>
          <w:sz w:val="24"/>
          <w:szCs w:val="24"/>
        </w:rPr>
      </w:pPr>
      <w:r>
        <w:rPr>
          <w:rFonts w:ascii="Times New Roman" w:hAnsi="Times New Roman"/>
          <w:sz w:val="24"/>
          <w:szCs w:val="24"/>
        </w:rPr>
        <w:br w:type="textWrapping" w:clear="all"/>
      </w:r>
    </w:p>
    <w:p w14:paraId="4E52E474" w14:textId="0580391F" w:rsidR="00990EF1" w:rsidRDefault="00732CE8" w:rsidP="00FC1985">
      <w:pPr>
        <w:pStyle w:val="NoSpacing"/>
        <w:jc w:val="center"/>
        <w:rPr>
          <w:rFonts w:ascii="Times New Roman" w:hAnsi="Times New Roman"/>
          <w:sz w:val="24"/>
          <w:szCs w:val="24"/>
        </w:rPr>
      </w:pPr>
      <w:r w:rsidRPr="00990EF1">
        <w:rPr>
          <w:noProof/>
          <w:sz w:val="32"/>
          <w:szCs w:val="32"/>
        </w:rPr>
        <w:drawing>
          <wp:anchor distT="0" distB="0" distL="114300" distR="114300" simplePos="0" relativeHeight="251658240" behindDoc="0" locked="0" layoutInCell="1" allowOverlap="1" wp14:anchorId="2AC61440" wp14:editId="1909801A">
            <wp:simplePos x="0" y="0"/>
            <wp:positionH relativeFrom="column">
              <wp:posOffset>1416050</wp:posOffset>
            </wp:positionH>
            <wp:positionV relativeFrom="paragraph">
              <wp:posOffset>41275</wp:posOffset>
            </wp:positionV>
            <wp:extent cx="2727960" cy="1106170"/>
            <wp:effectExtent l="0" t="0" r="0" b="0"/>
            <wp:wrapSquare wrapText="bothSides"/>
            <wp:docPr id="6" name="Picture 6"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Team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7960" cy="11061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200962" w14:textId="77777777" w:rsidR="00990EF1" w:rsidRDefault="00990EF1" w:rsidP="00FC1985">
      <w:pPr>
        <w:pStyle w:val="NoSpacing"/>
        <w:jc w:val="center"/>
        <w:rPr>
          <w:rFonts w:ascii="Times New Roman" w:hAnsi="Times New Roman"/>
          <w:sz w:val="24"/>
          <w:szCs w:val="24"/>
        </w:rPr>
      </w:pPr>
    </w:p>
    <w:p w14:paraId="6E349B20" w14:textId="77777777" w:rsidR="00990EF1" w:rsidRDefault="00990EF1" w:rsidP="00FC1985">
      <w:pPr>
        <w:pStyle w:val="NoSpacing"/>
        <w:jc w:val="center"/>
        <w:rPr>
          <w:rFonts w:ascii="Times New Roman" w:hAnsi="Times New Roman"/>
          <w:sz w:val="24"/>
          <w:szCs w:val="24"/>
        </w:rPr>
      </w:pPr>
    </w:p>
    <w:p w14:paraId="6A33D265" w14:textId="37EC2C54" w:rsidR="00990EF1" w:rsidRDefault="00990EF1" w:rsidP="00FC1985">
      <w:pPr>
        <w:pStyle w:val="NoSpacing"/>
        <w:jc w:val="center"/>
        <w:rPr>
          <w:rFonts w:ascii="Times New Roman" w:hAnsi="Times New Roman"/>
          <w:sz w:val="24"/>
          <w:szCs w:val="24"/>
        </w:rPr>
      </w:pPr>
    </w:p>
    <w:p w14:paraId="7DB2BF7E" w14:textId="3450E2F6" w:rsidR="00DB058B" w:rsidRDefault="00DB058B" w:rsidP="00FC1985">
      <w:pPr>
        <w:pStyle w:val="NoSpacing"/>
        <w:jc w:val="center"/>
        <w:rPr>
          <w:rFonts w:ascii="Times New Roman" w:hAnsi="Times New Roman"/>
          <w:sz w:val="24"/>
          <w:szCs w:val="24"/>
        </w:rPr>
      </w:pPr>
      <w:r w:rsidRPr="009B6315">
        <w:rPr>
          <w:rFonts w:cstheme="minorBidi"/>
          <w:noProof/>
        </w:rPr>
        <w:drawing>
          <wp:inline distT="0" distB="0" distL="0" distR="0" wp14:anchorId="5DDE8556" wp14:editId="56B95156">
            <wp:extent cx="2787650" cy="139554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2"/>
                    <a:stretch>
                      <a:fillRect/>
                    </a:stretch>
                  </pic:blipFill>
                  <pic:spPr>
                    <a:xfrm>
                      <a:off x="0" y="0"/>
                      <a:ext cx="3021379" cy="1512555"/>
                    </a:xfrm>
                    <a:prstGeom prst="rect">
                      <a:avLst/>
                    </a:prstGeom>
                  </pic:spPr>
                </pic:pic>
              </a:graphicData>
            </a:graphic>
          </wp:inline>
        </w:drawing>
      </w:r>
    </w:p>
    <w:p w14:paraId="4FA8516D" w14:textId="1E1FBA6E" w:rsidR="0008741B" w:rsidRPr="001F7C0E" w:rsidRDefault="00732CE8" w:rsidP="00990EF1">
      <w:pPr>
        <w:pStyle w:val="NoSpacing"/>
        <w:rPr>
          <w:rFonts w:ascii="Times New Roman" w:hAnsi="Times New Roman"/>
          <w:sz w:val="24"/>
          <w:szCs w:val="24"/>
        </w:rPr>
      </w:pPr>
      <w:r>
        <w:rPr>
          <w:noProof/>
        </w:rPr>
        <w:drawing>
          <wp:anchor distT="0" distB="0" distL="114300" distR="114300" simplePos="0" relativeHeight="251658241" behindDoc="0" locked="0" layoutInCell="1" allowOverlap="1" wp14:anchorId="2C2AD683" wp14:editId="56BFD20B">
            <wp:simplePos x="0" y="0"/>
            <wp:positionH relativeFrom="column">
              <wp:posOffset>1371600</wp:posOffset>
            </wp:positionH>
            <wp:positionV relativeFrom="paragraph">
              <wp:posOffset>121285</wp:posOffset>
            </wp:positionV>
            <wp:extent cx="2686050" cy="1923415"/>
            <wp:effectExtent l="0" t="0" r="0" b="635"/>
            <wp:wrapSquare wrapText="bothSides"/>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6050" cy="19234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EF1">
        <w:rPr>
          <w:rFonts w:ascii="Times New Roman" w:hAnsi="Times New Roman"/>
          <w:sz w:val="24"/>
          <w:szCs w:val="24"/>
        </w:rPr>
        <w:br w:type="textWrapping" w:clear="all"/>
      </w:r>
    </w:p>
    <w:p w14:paraId="685464EB" w14:textId="0206378C" w:rsidR="00A13BCC" w:rsidRDefault="00732CE8" w:rsidP="00FC1985">
      <w:pPr>
        <w:pStyle w:val="NoSpacing"/>
        <w:jc w:val="center"/>
        <w:rPr>
          <w:rFonts w:ascii="Times New Roman" w:hAnsi="Times New Roman"/>
          <w:sz w:val="24"/>
          <w:szCs w:val="24"/>
        </w:rPr>
      </w:pPr>
      <w:r>
        <w:rPr>
          <w:noProof/>
        </w:rPr>
        <w:drawing>
          <wp:inline distT="0" distB="0" distL="0" distR="0" wp14:anchorId="438DA13E" wp14:editId="7EAF47C8">
            <wp:extent cx="2527300" cy="1368630"/>
            <wp:effectExtent l="0" t="0" r="6350" b="3175"/>
            <wp:docPr id="231115674"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115674" name="Picture 1" descr="A picture containing text, font, logo, graphics&#10;&#10;Description automatically generated"/>
                    <pic:cNvPicPr/>
                  </pic:nvPicPr>
                  <pic:blipFill>
                    <a:blip r:embed="rId14"/>
                    <a:stretch>
                      <a:fillRect/>
                    </a:stretch>
                  </pic:blipFill>
                  <pic:spPr>
                    <a:xfrm>
                      <a:off x="0" y="0"/>
                      <a:ext cx="2553132" cy="1382619"/>
                    </a:xfrm>
                    <a:prstGeom prst="rect">
                      <a:avLst/>
                    </a:prstGeom>
                  </pic:spPr>
                </pic:pic>
              </a:graphicData>
            </a:graphic>
          </wp:inline>
        </w:drawing>
      </w:r>
    </w:p>
    <w:p w14:paraId="77437F71" w14:textId="77777777" w:rsidR="00A13BCC" w:rsidRDefault="00A13BCC" w:rsidP="00FC1985">
      <w:pPr>
        <w:pStyle w:val="NoSpacing"/>
        <w:jc w:val="center"/>
        <w:rPr>
          <w:rFonts w:ascii="Times New Roman" w:hAnsi="Times New Roman"/>
          <w:sz w:val="24"/>
          <w:szCs w:val="24"/>
        </w:rPr>
      </w:pPr>
    </w:p>
    <w:p w14:paraId="13D167DB" w14:textId="7CCAC22C" w:rsidR="00C51E90" w:rsidRDefault="00732CE8" w:rsidP="00FC1985">
      <w:pPr>
        <w:pStyle w:val="NoSpacing"/>
        <w:jc w:val="center"/>
        <w:rPr>
          <w:rFonts w:ascii="Times New Roman" w:hAnsi="Times New Roman"/>
          <w:sz w:val="24"/>
          <w:szCs w:val="24"/>
        </w:rPr>
      </w:pPr>
      <w:r>
        <w:rPr>
          <w:rFonts w:ascii="Times New Roman" w:hAnsi="Times New Roman"/>
          <w:sz w:val="24"/>
          <w:szCs w:val="24"/>
        </w:rPr>
        <w:t>J</w:t>
      </w:r>
      <w:r w:rsidR="00A13BCC">
        <w:rPr>
          <w:rFonts w:ascii="Times New Roman" w:hAnsi="Times New Roman"/>
          <w:sz w:val="24"/>
          <w:szCs w:val="24"/>
        </w:rPr>
        <w:t>une 28, 2021, r</w:t>
      </w:r>
      <w:r w:rsidR="00C51E90" w:rsidRPr="001F7C0E">
        <w:rPr>
          <w:rFonts w:ascii="Times New Roman" w:hAnsi="Times New Roman"/>
          <w:sz w:val="24"/>
          <w:szCs w:val="24"/>
        </w:rPr>
        <w:t xml:space="preserve">evised </w:t>
      </w:r>
      <w:r w:rsidR="006A5730">
        <w:rPr>
          <w:rFonts w:ascii="Times New Roman" w:hAnsi="Times New Roman"/>
          <w:sz w:val="24"/>
          <w:szCs w:val="24"/>
        </w:rPr>
        <w:t>Aug.</w:t>
      </w:r>
      <w:r w:rsidR="00544E70">
        <w:rPr>
          <w:rFonts w:ascii="Times New Roman" w:hAnsi="Times New Roman"/>
          <w:sz w:val="24"/>
          <w:szCs w:val="24"/>
        </w:rPr>
        <w:t xml:space="preserve"> </w:t>
      </w:r>
      <w:r w:rsidR="003E441D" w:rsidRPr="001F7C0E">
        <w:rPr>
          <w:rFonts w:ascii="Times New Roman" w:hAnsi="Times New Roman"/>
          <w:sz w:val="24"/>
          <w:szCs w:val="24"/>
        </w:rPr>
        <w:t>2023</w:t>
      </w:r>
    </w:p>
    <w:p w14:paraId="3CFB6441" w14:textId="476B3923" w:rsidR="00C51E90" w:rsidRPr="001F7C0E" w:rsidRDefault="00C51E90" w:rsidP="00732CE8">
      <w:pPr>
        <w:rPr>
          <w:color w:val="000000"/>
        </w:rPr>
      </w:pPr>
      <w:r w:rsidRPr="0069530F">
        <w:rPr>
          <w:rStyle w:val="Heading1Char"/>
        </w:rPr>
        <w:lastRenderedPageBreak/>
        <w:t xml:space="preserve">I. </w:t>
      </w:r>
      <w:r w:rsidRPr="0069530F">
        <w:rPr>
          <w:rStyle w:val="Heading1Char"/>
        </w:rPr>
        <w:tab/>
        <w:t>INTRODUCTION</w:t>
      </w:r>
      <w:r w:rsidR="008E5232">
        <w:rPr>
          <w:rStyle w:val="FootnoteReference"/>
          <w:b/>
          <w:bCs/>
          <w:color w:val="000000"/>
        </w:rPr>
        <w:footnoteReference w:customMarkFollows="1" w:id="2"/>
        <w:t>*</w:t>
      </w:r>
      <w:r w:rsidRPr="001F7C0E">
        <w:rPr>
          <w:b/>
          <w:bCs/>
          <w:color w:val="000000"/>
        </w:rPr>
        <w:t xml:space="preserve"> </w:t>
      </w:r>
    </w:p>
    <w:p w14:paraId="4DE99EBE" w14:textId="081849E4" w:rsidR="00A302C0" w:rsidRPr="00A302C0" w:rsidRDefault="00B321CD" w:rsidP="00614C38">
      <w:pPr>
        <w:pStyle w:val="CM14"/>
        <w:spacing w:after="375" w:line="276" w:lineRule="atLeast"/>
        <w:ind w:firstLine="790"/>
      </w:pPr>
      <w:r>
        <w:rPr>
          <w:color w:val="000000"/>
        </w:rPr>
        <w:t>I</w:t>
      </w:r>
      <w:r w:rsidRPr="001F7C0E">
        <w:rPr>
          <w:color w:val="000000"/>
        </w:rPr>
        <w:t>nvoluntary outpatient commitment law</w:t>
      </w:r>
      <w:r>
        <w:rPr>
          <w:color w:val="000000"/>
        </w:rPr>
        <w:t>s that</w:t>
      </w:r>
      <w:r w:rsidRPr="001F7C0E">
        <w:rPr>
          <w:color w:val="000000"/>
        </w:rPr>
        <w:t xml:space="preserve"> compel people with mental health conditions to accept medication </w:t>
      </w:r>
      <w:r>
        <w:rPr>
          <w:color w:val="000000"/>
        </w:rPr>
        <w:t xml:space="preserve">and treatment </w:t>
      </w:r>
      <w:r w:rsidR="00077FF0">
        <w:rPr>
          <w:color w:val="000000"/>
        </w:rPr>
        <w:t>do</w:t>
      </w:r>
      <w:r>
        <w:rPr>
          <w:color w:val="000000"/>
        </w:rPr>
        <w:t xml:space="preserve"> not </w:t>
      </w:r>
      <w:r w:rsidRPr="001F7C0E">
        <w:rPr>
          <w:color w:val="000000"/>
        </w:rPr>
        <w:t xml:space="preserve">increase safety or improve care. </w:t>
      </w:r>
      <w:r w:rsidR="00C51E90" w:rsidRPr="001F7C0E">
        <w:rPr>
          <w:color w:val="000000"/>
        </w:rPr>
        <w:t xml:space="preserve">This </w:t>
      </w:r>
      <w:r w:rsidR="00990959">
        <w:rPr>
          <w:color w:val="000000"/>
        </w:rPr>
        <w:t>paper</w:t>
      </w:r>
      <w:r w:rsidR="00C51E90" w:rsidRPr="001F7C0E">
        <w:rPr>
          <w:color w:val="000000"/>
        </w:rPr>
        <w:t xml:space="preserve"> addresses</w:t>
      </w:r>
      <w:r w:rsidR="00FF2BC2">
        <w:rPr>
          <w:color w:val="000000"/>
        </w:rPr>
        <w:t>:</w:t>
      </w:r>
      <w:r w:rsidR="00C51E90" w:rsidRPr="001F7C0E">
        <w:rPr>
          <w:color w:val="000000"/>
        </w:rPr>
        <w:t xml:space="preserve"> </w:t>
      </w:r>
      <w:r w:rsidR="00077FF0">
        <w:rPr>
          <w:color w:val="000000"/>
        </w:rPr>
        <w:t xml:space="preserve">(1) </w:t>
      </w:r>
      <w:r w:rsidR="0027309D" w:rsidRPr="001F7C0E">
        <w:rPr>
          <w:color w:val="000000"/>
        </w:rPr>
        <w:t>the</w:t>
      </w:r>
      <w:r w:rsidR="0027309D">
        <w:rPr>
          <w:color w:val="000000"/>
        </w:rPr>
        <w:t xml:space="preserve"> research regarding the </w:t>
      </w:r>
      <w:r w:rsidR="0027309D" w:rsidRPr="001F7C0E">
        <w:rPr>
          <w:color w:val="000000"/>
        </w:rPr>
        <w:t>effectiveness of involuntary outpatient commitment</w:t>
      </w:r>
      <w:r w:rsidR="00077FF0">
        <w:rPr>
          <w:color w:val="000000"/>
        </w:rPr>
        <w:t>, which demonstrates that coerced treatment is neither effective in promoting recovery or enhancing public safety; (2)</w:t>
      </w:r>
      <w:r w:rsidR="00C51E90" w:rsidRPr="001F7C0E">
        <w:rPr>
          <w:color w:val="000000"/>
        </w:rPr>
        <w:t xml:space="preserve"> </w:t>
      </w:r>
      <w:r w:rsidR="00334991">
        <w:rPr>
          <w:color w:val="000000"/>
        </w:rPr>
        <w:t>t</w:t>
      </w:r>
      <w:r w:rsidR="00C51E90" w:rsidRPr="001F7C0E">
        <w:rPr>
          <w:color w:val="000000"/>
        </w:rPr>
        <w:t>he clinical, policy, programmatic, and fiscal co</w:t>
      </w:r>
      <w:r w:rsidR="00077FF0">
        <w:rPr>
          <w:color w:val="000000"/>
        </w:rPr>
        <w:t>sts inherent in administering</w:t>
      </w:r>
      <w:r w:rsidR="00C51E90" w:rsidRPr="001F7C0E">
        <w:rPr>
          <w:color w:val="000000"/>
        </w:rPr>
        <w:t xml:space="preserve"> a system of </w:t>
      </w:r>
      <w:r w:rsidR="00CE6B40" w:rsidRPr="001F7C0E">
        <w:rPr>
          <w:color w:val="000000"/>
        </w:rPr>
        <w:t>involuntary outpatient commitment</w:t>
      </w:r>
      <w:r w:rsidR="00077FF0">
        <w:rPr>
          <w:color w:val="000000"/>
        </w:rPr>
        <w:t xml:space="preserve"> which collectively undermine the very goals of that system</w:t>
      </w:r>
      <w:r w:rsidR="00FF2BC2">
        <w:rPr>
          <w:color w:val="000000"/>
        </w:rPr>
        <w:t>;</w:t>
      </w:r>
      <w:r w:rsidR="00C51E90" w:rsidRPr="001F7C0E">
        <w:rPr>
          <w:color w:val="000000"/>
        </w:rPr>
        <w:t xml:space="preserve"> and</w:t>
      </w:r>
      <w:r w:rsidR="00705CDD">
        <w:rPr>
          <w:color w:val="000000"/>
        </w:rPr>
        <w:t xml:space="preserve"> </w:t>
      </w:r>
      <w:r w:rsidR="00705CDD" w:rsidRPr="001F7C0E">
        <w:rPr>
          <w:color w:val="000000"/>
        </w:rPr>
        <w:t xml:space="preserve">the </w:t>
      </w:r>
      <w:r w:rsidR="00077FF0">
        <w:rPr>
          <w:color w:val="000000"/>
        </w:rPr>
        <w:t xml:space="preserve">fundamental </w:t>
      </w:r>
      <w:r w:rsidR="00705CDD" w:rsidRPr="001F7C0E">
        <w:rPr>
          <w:color w:val="000000"/>
        </w:rPr>
        <w:t xml:space="preserve">legal </w:t>
      </w:r>
      <w:r w:rsidR="00077FF0">
        <w:rPr>
          <w:color w:val="000000"/>
        </w:rPr>
        <w:t>rights and procedures in Massachusetts</w:t>
      </w:r>
      <w:r w:rsidR="00705CDD" w:rsidRPr="001F7C0E">
        <w:rPr>
          <w:color w:val="000000"/>
        </w:rPr>
        <w:t xml:space="preserve"> </w:t>
      </w:r>
      <w:r w:rsidR="00077FF0">
        <w:rPr>
          <w:color w:val="000000"/>
        </w:rPr>
        <w:t xml:space="preserve">which are inconsistent with </w:t>
      </w:r>
      <w:r w:rsidR="00705CDD" w:rsidRPr="001F7C0E">
        <w:rPr>
          <w:color w:val="000000"/>
        </w:rPr>
        <w:t>involuntary outpatient commitment</w:t>
      </w:r>
      <w:r w:rsidR="00077FF0">
        <w:rPr>
          <w:color w:val="000000"/>
        </w:rPr>
        <w:t>.</w:t>
      </w:r>
      <w:r w:rsidR="00C51E90" w:rsidRPr="001F7C0E">
        <w:rPr>
          <w:color w:val="000000"/>
        </w:rPr>
        <w:t xml:space="preserve"> </w:t>
      </w:r>
    </w:p>
    <w:p w14:paraId="3D84B4FA" w14:textId="0E377539" w:rsidR="00A302C0" w:rsidRDefault="44523EDB" w:rsidP="2EB2BAAD">
      <w:pPr>
        <w:pStyle w:val="Heading1"/>
        <w:rPr>
          <w:caps w:val="0"/>
        </w:rPr>
      </w:pPr>
      <w:r>
        <w:t xml:space="preserve">II. </w:t>
      </w:r>
      <w:r>
        <w:tab/>
      </w:r>
      <w:r w:rsidR="7FBFCE4C">
        <w:t xml:space="preserve">RESEARCH </w:t>
      </w:r>
      <w:r w:rsidR="00077FF0">
        <w:t xml:space="preserve">STUDIES IN JURISDICTIONS THAT HAVE ADOPTED INVOLUNTARY OUTPATIENT COMMITMENT DEMONSTRATE THAT IT IS NOT EFFECTIVE IN PROMOTING TREATMENT OR PROTECTING SAFETY. </w:t>
      </w:r>
    </w:p>
    <w:p w14:paraId="271F9F88" w14:textId="0077BED8" w:rsidR="00A302C0" w:rsidRPr="001F7C0E" w:rsidRDefault="00A302C0" w:rsidP="002B40A4">
      <w:pPr>
        <w:pStyle w:val="NoSpacing"/>
        <w:ind w:firstLine="648"/>
        <w:rPr>
          <w:rStyle w:val="eop"/>
          <w:color w:val="212121"/>
          <w:sz w:val="24"/>
          <w:szCs w:val="24"/>
          <w:shd w:val="clear" w:color="auto" w:fill="FFFFFF"/>
        </w:rPr>
      </w:pPr>
      <w:r>
        <w:rPr>
          <w:rFonts w:ascii="Times New Roman" w:hAnsi="Times New Roman"/>
          <w:sz w:val="24"/>
          <w:szCs w:val="24"/>
        </w:rPr>
        <w:t>S</w:t>
      </w:r>
      <w:r w:rsidRPr="001F7C0E">
        <w:rPr>
          <w:rFonts w:ascii="Times New Roman" w:hAnsi="Times New Roman"/>
          <w:sz w:val="24"/>
          <w:szCs w:val="24"/>
        </w:rPr>
        <w:t>tudies have show</w:t>
      </w:r>
      <w:r>
        <w:rPr>
          <w:rFonts w:ascii="Times New Roman" w:hAnsi="Times New Roman"/>
          <w:sz w:val="24"/>
          <w:szCs w:val="24"/>
        </w:rPr>
        <w:t>n</w:t>
      </w:r>
      <w:r w:rsidRPr="001F7C0E">
        <w:rPr>
          <w:rFonts w:ascii="Times New Roman" w:hAnsi="Times New Roman"/>
          <w:sz w:val="24"/>
          <w:szCs w:val="24"/>
        </w:rPr>
        <w:t xml:space="preserve"> that involuntary outpatient commitment is </w:t>
      </w:r>
      <w:r>
        <w:rPr>
          <w:rFonts w:ascii="Times New Roman" w:hAnsi="Times New Roman"/>
          <w:sz w:val="24"/>
          <w:szCs w:val="24"/>
        </w:rPr>
        <w:t xml:space="preserve">not </w:t>
      </w:r>
      <w:r w:rsidRPr="001F7C0E">
        <w:rPr>
          <w:rFonts w:ascii="Times New Roman" w:hAnsi="Times New Roman"/>
          <w:sz w:val="24"/>
          <w:szCs w:val="24"/>
        </w:rPr>
        <w:t>effective at meeting its proponents’ goals</w:t>
      </w:r>
      <w:r>
        <w:rPr>
          <w:rFonts w:ascii="Times New Roman" w:hAnsi="Times New Roman"/>
          <w:sz w:val="24"/>
          <w:szCs w:val="24"/>
        </w:rPr>
        <w:t xml:space="preserve"> of </w:t>
      </w:r>
      <w:r w:rsidRPr="001F7C0E">
        <w:rPr>
          <w:rFonts w:ascii="Times New Roman" w:hAnsi="Times New Roman"/>
          <w:sz w:val="24"/>
          <w:szCs w:val="24"/>
        </w:rPr>
        <w:t>treatment compliance and reduced rates of hospitalization. For example, the Bellevue Study</w:t>
      </w:r>
      <w:r w:rsidR="001E313A">
        <w:rPr>
          <w:rFonts w:ascii="Times New Roman" w:hAnsi="Times New Roman"/>
          <w:sz w:val="24"/>
          <w:szCs w:val="24"/>
        </w:rPr>
        <w:t xml:space="preserve"> conducted in New York</w:t>
      </w:r>
      <w:r w:rsidRPr="001F7C0E">
        <w:rPr>
          <w:rFonts w:ascii="Times New Roman" w:hAnsi="Times New Roman"/>
          <w:sz w:val="24"/>
          <w:szCs w:val="24"/>
        </w:rPr>
        <w:t>, which compared a group of individuals under involuntary outpatient commitment to a control group, found that court orders did not lead to lower rates of crime</w:t>
      </w:r>
      <w:r w:rsidR="00A007BA">
        <w:rPr>
          <w:rFonts w:ascii="Times New Roman" w:hAnsi="Times New Roman"/>
          <w:sz w:val="24"/>
          <w:szCs w:val="24"/>
        </w:rPr>
        <w:t xml:space="preserve"> or</w:t>
      </w:r>
      <w:r w:rsidRPr="001F7C0E">
        <w:rPr>
          <w:rFonts w:ascii="Times New Roman" w:hAnsi="Times New Roman"/>
          <w:sz w:val="24"/>
          <w:szCs w:val="24"/>
        </w:rPr>
        <w:t xml:space="preserve"> hospitalization, or </w:t>
      </w:r>
      <w:r w:rsidR="00A007BA">
        <w:rPr>
          <w:rFonts w:ascii="Times New Roman" w:hAnsi="Times New Roman"/>
          <w:sz w:val="24"/>
          <w:szCs w:val="24"/>
        </w:rPr>
        <w:t xml:space="preserve">promote </w:t>
      </w:r>
      <w:r w:rsidRPr="001F7C0E">
        <w:rPr>
          <w:rFonts w:ascii="Times New Roman" w:hAnsi="Times New Roman"/>
          <w:sz w:val="24"/>
          <w:szCs w:val="24"/>
        </w:rPr>
        <w:t>compliance with treatment.</w:t>
      </w:r>
      <w:r w:rsidRPr="001F7C0E">
        <w:rPr>
          <w:rStyle w:val="FootnoteReference"/>
          <w:rFonts w:ascii="Times New Roman" w:hAnsi="Times New Roman"/>
          <w:sz w:val="24"/>
          <w:szCs w:val="24"/>
        </w:rPr>
        <w:footnoteReference w:id="3"/>
      </w:r>
      <w:r w:rsidRPr="001F7C0E">
        <w:rPr>
          <w:rFonts w:ascii="Times New Roman" w:hAnsi="Times New Roman"/>
          <w:sz w:val="24"/>
          <w:szCs w:val="24"/>
        </w:rPr>
        <w:t xml:space="preserve"> </w:t>
      </w:r>
      <w:r w:rsidR="0067264E">
        <w:rPr>
          <w:rFonts w:ascii="Times New Roman" w:hAnsi="Times New Roman"/>
          <w:sz w:val="24"/>
          <w:szCs w:val="24"/>
        </w:rPr>
        <w:t>These s</w:t>
      </w:r>
      <w:r w:rsidRPr="001F7C0E">
        <w:rPr>
          <w:rFonts w:ascii="Times New Roman" w:hAnsi="Times New Roman"/>
          <w:sz w:val="24"/>
          <w:szCs w:val="24"/>
        </w:rPr>
        <w:t xml:space="preserve">tudies also </w:t>
      </w:r>
      <w:r w:rsidR="00491327">
        <w:rPr>
          <w:rFonts w:ascii="Times New Roman" w:hAnsi="Times New Roman"/>
          <w:sz w:val="24"/>
          <w:szCs w:val="24"/>
        </w:rPr>
        <w:t xml:space="preserve">do not demonstrate </w:t>
      </w:r>
      <w:r w:rsidRPr="001F7C0E">
        <w:rPr>
          <w:rFonts w:ascii="Times New Roman" w:hAnsi="Times New Roman"/>
          <w:sz w:val="24"/>
          <w:szCs w:val="24"/>
        </w:rPr>
        <w:t xml:space="preserve">that </w:t>
      </w:r>
      <w:r w:rsidRPr="001F7C0E">
        <w:rPr>
          <w:rFonts w:ascii="Times New Roman" w:hAnsi="Times New Roman"/>
          <w:color w:val="000000"/>
          <w:sz w:val="24"/>
          <w:szCs w:val="24"/>
        </w:rPr>
        <w:t xml:space="preserve">involuntary outpatient commitment </w:t>
      </w:r>
      <w:r w:rsidRPr="001F7C0E">
        <w:rPr>
          <w:rFonts w:ascii="Times New Roman" w:hAnsi="Times New Roman"/>
          <w:sz w:val="24"/>
          <w:szCs w:val="24"/>
        </w:rPr>
        <w:t>improve</w:t>
      </w:r>
      <w:r w:rsidR="00491327">
        <w:rPr>
          <w:rFonts w:ascii="Times New Roman" w:hAnsi="Times New Roman"/>
          <w:sz w:val="24"/>
          <w:szCs w:val="24"/>
        </w:rPr>
        <w:t>s</w:t>
      </w:r>
      <w:r w:rsidRPr="001F7C0E">
        <w:rPr>
          <w:rFonts w:ascii="Times New Roman" w:hAnsi="Times New Roman"/>
          <w:sz w:val="24"/>
          <w:szCs w:val="24"/>
        </w:rPr>
        <w:t xml:space="preserve"> patient outcomes.</w:t>
      </w:r>
      <w:r w:rsidRPr="001F7C0E">
        <w:rPr>
          <w:rStyle w:val="FootnoteReference"/>
          <w:rFonts w:ascii="Times New Roman" w:hAnsi="Times New Roman"/>
          <w:sz w:val="24"/>
          <w:szCs w:val="24"/>
        </w:rPr>
        <w:footnoteReference w:id="4"/>
      </w:r>
      <w:r w:rsidRPr="001F7C0E">
        <w:rPr>
          <w:rFonts w:ascii="Times New Roman" w:hAnsi="Times New Roman"/>
          <w:sz w:val="24"/>
          <w:szCs w:val="24"/>
        </w:rPr>
        <w:t xml:space="preserve"> </w:t>
      </w:r>
    </w:p>
    <w:p w14:paraId="0337ED8A" w14:textId="77777777" w:rsidR="00A302C0" w:rsidRPr="001F7C0E" w:rsidRDefault="00A302C0" w:rsidP="007B6F5B">
      <w:pPr>
        <w:pStyle w:val="FootnoteText"/>
        <w:rPr>
          <w:sz w:val="24"/>
          <w:szCs w:val="24"/>
        </w:rPr>
      </w:pPr>
    </w:p>
    <w:p w14:paraId="13A08567" w14:textId="69135F49" w:rsidR="00A302C0" w:rsidRPr="001F7C0E" w:rsidRDefault="00A302C0" w:rsidP="00BE731A">
      <w:pPr>
        <w:pStyle w:val="CM8"/>
        <w:spacing w:line="240" w:lineRule="auto"/>
        <w:ind w:firstLine="647"/>
        <w:rPr>
          <w:color w:val="000000"/>
        </w:rPr>
      </w:pPr>
      <w:r w:rsidRPr="001F7C0E">
        <w:rPr>
          <w:color w:val="000000"/>
        </w:rPr>
        <w:t xml:space="preserve">Studies that have shown positive outcomes </w:t>
      </w:r>
      <w:r w:rsidR="00B024D4" w:rsidRPr="001F7C0E">
        <w:rPr>
          <w:color w:val="000000"/>
        </w:rPr>
        <w:t>f</w:t>
      </w:r>
      <w:r w:rsidR="00B024D4">
        <w:rPr>
          <w:color w:val="000000"/>
        </w:rPr>
        <w:t>ollowing the introduction of</w:t>
      </w:r>
      <w:r w:rsidR="00B024D4" w:rsidRPr="001F7C0E">
        <w:rPr>
          <w:color w:val="000000"/>
        </w:rPr>
        <w:t xml:space="preserve"> </w:t>
      </w:r>
      <w:r w:rsidRPr="001F7C0E">
        <w:rPr>
          <w:color w:val="000000"/>
        </w:rPr>
        <w:t>involuntary outpatient commitment often emphasize that the beneficial outcomes cannot be ascribed simply to the treatment mandate</w:t>
      </w:r>
      <w:r w:rsidR="001E313A">
        <w:rPr>
          <w:color w:val="000000"/>
        </w:rPr>
        <w:t xml:space="preserve"> but instead</w:t>
      </w:r>
      <w:r w:rsidR="000958FC">
        <w:rPr>
          <w:color w:val="000000"/>
        </w:rPr>
        <w:t xml:space="preserve"> are</w:t>
      </w:r>
      <w:r w:rsidR="001E313A">
        <w:rPr>
          <w:color w:val="000000"/>
        </w:rPr>
        <w:t xml:space="preserve"> more likely associated with the significant expansion of community mental health services</w:t>
      </w:r>
      <w:r w:rsidRPr="001F7C0E">
        <w:rPr>
          <w:color w:val="000000"/>
        </w:rPr>
        <w:t xml:space="preserve">. That </w:t>
      </w:r>
      <w:r w:rsidR="001E313A">
        <w:rPr>
          <w:color w:val="000000"/>
        </w:rPr>
        <w:t xml:space="preserve">statutory </w:t>
      </w:r>
      <w:r w:rsidRPr="001F7C0E">
        <w:rPr>
          <w:color w:val="000000"/>
        </w:rPr>
        <w:t xml:space="preserve">mandate is often </w:t>
      </w:r>
      <w:r w:rsidR="003D6BF8">
        <w:rPr>
          <w:color w:val="000000"/>
        </w:rPr>
        <w:t xml:space="preserve">enacted as </w:t>
      </w:r>
      <w:r w:rsidRPr="001F7C0E">
        <w:rPr>
          <w:color w:val="000000"/>
        </w:rPr>
        <w:t>part of a broader package of reforms containing an array of</w:t>
      </w:r>
      <w:r>
        <w:rPr>
          <w:color w:val="000000"/>
        </w:rPr>
        <w:t xml:space="preserve"> </w:t>
      </w:r>
      <w:r w:rsidRPr="001F7C0E">
        <w:rPr>
          <w:color w:val="000000"/>
        </w:rPr>
        <w:t xml:space="preserve">new services. </w:t>
      </w:r>
      <w:r w:rsidR="001E313A">
        <w:rPr>
          <w:color w:val="000000"/>
        </w:rPr>
        <w:t>R</w:t>
      </w:r>
      <w:r w:rsidRPr="001F7C0E">
        <w:rPr>
          <w:color w:val="000000"/>
        </w:rPr>
        <w:t xml:space="preserve">esearchers have been unable to isolate the coercive commitment provision as the </w:t>
      </w:r>
      <w:r w:rsidR="001E313A">
        <w:rPr>
          <w:color w:val="000000"/>
        </w:rPr>
        <w:t>cause for any</w:t>
      </w:r>
      <w:r w:rsidR="006F3109">
        <w:rPr>
          <w:color w:val="000000"/>
        </w:rPr>
        <w:t xml:space="preserve"> </w:t>
      </w:r>
      <w:r w:rsidR="001E313A">
        <w:rPr>
          <w:color w:val="000000"/>
        </w:rPr>
        <w:t>clinical</w:t>
      </w:r>
      <w:r w:rsidRPr="001F7C0E">
        <w:rPr>
          <w:color w:val="000000"/>
        </w:rPr>
        <w:t xml:space="preserve"> outcome</w:t>
      </w:r>
      <w:r w:rsidR="001E313A">
        <w:rPr>
          <w:color w:val="000000"/>
        </w:rPr>
        <w:t>, and instead suggest that major investments in additional community mental health services is likely the primary factor associated with any positive outcomes</w:t>
      </w:r>
      <w:r w:rsidRPr="001F7C0E">
        <w:rPr>
          <w:color w:val="000000"/>
        </w:rPr>
        <w:t>.</w:t>
      </w:r>
      <w:r w:rsidRPr="001F7C0E">
        <w:rPr>
          <w:rStyle w:val="FootnoteReference"/>
          <w:color w:val="000000"/>
        </w:rPr>
        <w:footnoteReference w:id="5"/>
      </w:r>
      <w:r w:rsidRPr="001F7C0E">
        <w:rPr>
          <w:color w:val="000000"/>
        </w:rPr>
        <w:t xml:space="preserve"> </w:t>
      </w:r>
    </w:p>
    <w:p w14:paraId="102A71BA" w14:textId="77777777" w:rsidR="00A302C0" w:rsidRPr="001F7C0E" w:rsidRDefault="00A302C0" w:rsidP="00BE731A">
      <w:pPr>
        <w:pStyle w:val="CM8"/>
        <w:spacing w:line="240" w:lineRule="auto"/>
        <w:rPr>
          <w:color w:val="000000"/>
        </w:rPr>
      </w:pPr>
    </w:p>
    <w:p w14:paraId="4BA65A50" w14:textId="32330714" w:rsidR="00B44DB7" w:rsidRDefault="00A302C0" w:rsidP="006F3109">
      <w:pPr>
        <w:pStyle w:val="CM8"/>
        <w:spacing w:line="240" w:lineRule="auto"/>
        <w:ind w:firstLine="648"/>
        <w:rPr>
          <w:w w:val="105"/>
        </w:rPr>
      </w:pPr>
      <w:r w:rsidRPr="001F7C0E">
        <w:rPr>
          <w:color w:val="000000"/>
        </w:rPr>
        <w:t xml:space="preserve">A recent meta-analysis </w:t>
      </w:r>
      <w:r w:rsidR="00E57884">
        <w:rPr>
          <w:color w:val="000000"/>
        </w:rPr>
        <w:t xml:space="preserve">of outpatient commitment studies around the world </w:t>
      </w:r>
      <w:r w:rsidRPr="001F7C0E">
        <w:rPr>
          <w:color w:val="000000"/>
        </w:rPr>
        <w:t xml:space="preserve">has specifically </w:t>
      </w:r>
      <w:r w:rsidR="0000680A">
        <w:rPr>
          <w:color w:val="000000"/>
        </w:rPr>
        <w:t xml:space="preserve">attributed positive outcomes </w:t>
      </w:r>
      <w:r w:rsidR="00776F99">
        <w:rPr>
          <w:color w:val="000000"/>
        </w:rPr>
        <w:t xml:space="preserve">to </w:t>
      </w:r>
      <w:r w:rsidRPr="001F7C0E">
        <w:rPr>
          <w:color w:val="000000"/>
        </w:rPr>
        <w:t xml:space="preserve">enriched community services </w:t>
      </w:r>
      <w:r w:rsidR="001E313A">
        <w:rPr>
          <w:color w:val="000000"/>
        </w:rPr>
        <w:t xml:space="preserve">sometimes </w:t>
      </w:r>
      <w:r w:rsidRPr="001F7C0E">
        <w:rPr>
          <w:color w:val="000000"/>
        </w:rPr>
        <w:t>associated with involuntary outpatient commitment, rather than the involuntary outpatient commitment system itself.</w:t>
      </w:r>
      <w:r w:rsidR="00B44DB7" w:rsidRPr="001F7C0E">
        <w:rPr>
          <w:rStyle w:val="FootnoteReference"/>
          <w:w w:val="105"/>
        </w:rPr>
        <w:footnoteReference w:id="6"/>
      </w:r>
      <w:r w:rsidR="003A7C8A">
        <w:rPr>
          <w:w w:val="105"/>
        </w:rPr>
        <w:t xml:space="preserve"> </w:t>
      </w:r>
      <w:r w:rsidR="0058504F">
        <w:rPr>
          <w:w w:val="105"/>
        </w:rPr>
        <w:t xml:space="preserve">Reviewing </w:t>
      </w:r>
      <w:r w:rsidR="006908F1">
        <w:rPr>
          <w:w w:val="105"/>
        </w:rPr>
        <w:t xml:space="preserve">studies </w:t>
      </w:r>
      <w:r w:rsidR="00F176C2">
        <w:rPr>
          <w:w w:val="105"/>
        </w:rPr>
        <w:t xml:space="preserve">that measured the impact of involuntary outpatient commitment on </w:t>
      </w:r>
      <w:r w:rsidR="007E6703">
        <w:rPr>
          <w:w w:val="105"/>
        </w:rPr>
        <w:t xml:space="preserve">mortality risk, the </w:t>
      </w:r>
      <w:r w:rsidR="001A705E">
        <w:rPr>
          <w:w w:val="105"/>
        </w:rPr>
        <w:t>meta-anal</w:t>
      </w:r>
      <w:r w:rsidR="00850C3F">
        <w:rPr>
          <w:w w:val="105"/>
        </w:rPr>
        <w:t xml:space="preserve">ysis concluded </w:t>
      </w:r>
      <w:r w:rsidR="007E6703">
        <w:rPr>
          <w:w w:val="105"/>
        </w:rPr>
        <w:t xml:space="preserve">that </w:t>
      </w:r>
      <w:r w:rsidR="00850C3F">
        <w:rPr>
          <w:w w:val="105"/>
        </w:rPr>
        <w:t xml:space="preserve">mortality </w:t>
      </w:r>
      <w:r w:rsidR="00606BDE">
        <w:rPr>
          <w:w w:val="105"/>
        </w:rPr>
        <w:t xml:space="preserve">risk to </w:t>
      </w:r>
      <w:r w:rsidR="00566BD4">
        <w:rPr>
          <w:w w:val="105"/>
        </w:rPr>
        <w:t xml:space="preserve">patients subject to outpatient commitment </w:t>
      </w:r>
      <w:r w:rsidR="003E6670">
        <w:rPr>
          <w:w w:val="105"/>
        </w:rPr>
        <w:t>was influenced by service</w:t>
      </w:r>
      <w:r w:rsidR="000C58DE">
        <w:rPr>
          <w:w w:val="105"/>
        </w:rPr>
        <w:t xml:space="preserve"> utilization</w:t>
      </w:r>
      <w:r w:rsidR="001A705E">
        <w:rPr>
          <w:w w:val="105"/>
        </w:rPr>
        <w:t xml:space="preserve"> rather than </w:t>
      </w:r>
      <w:r w:rsidR="00606BDE">
        <w:rPr>
          <w:w w:val="105"/>
        </w:rPr>
        <w:t>by</w:t>
      </w:r>
      <w:r w:rsidR="000C58DE">
        <w:rPr>
          <w:w w:val="105"/>
        </w:rPr>
        <w:t xml:space="preserve"> the fact of having a treatment order.</w:t>
      </w:r>
      <w:r w:rsidR="00BC7847">
        <w:rPr>
          <w:color w:val="000000"/>
        </w:rPr>
        <w:t xml:space="preserve"> </w:t>
      </w:r>
      <w:r w:rsidR="00E546CF">
        <w:rPr>
          <w:color w:val="000000"/>
        </w:rPr>
        <w:t xml:space="preserve">These conclusions were </w:t>
      </w:r>
      <w:r w:rsidR="00DC3D5E">
        <w:rPr>
          <w:color w:val="000000"/>
        </w:rPr>
        <w:t>reinforced when the author examined another study within the meta-analysis; in that study</w:t>
      </w:r>
      <w:r w:rsidR="00875A6F">
        <w:rPr>
          <w:color w:val="000000"/>
        </w:rPr>
        <w:t>, after controlling for service-utilization</w:t>
      </w:r>
      <w:r w:rsidRPr="001F7C0E">
        <w:rPr>
          <w:color w:val="000000"/>
        </w:rPr>
        <w:t xml:space="preserve">, </w:t>
      </w:r>
      <w:r w:rsidR="00852087">
        <w:rPr>
          <w:color w:val="000000"/>
        </w:rPr>
        <w:t xml:space="preserve">the cohort of </w:t>
      </w:r>
      <w:r w:rsidRPr="001F7C0E">
        <w:rPr>
          <w:color w:val="000000"/>
        </w:rPr>
        <w:t>patients subject to involuntary outpatient commitment</w:t>
      </w:r>
      <w:r w:rsidRPr="001F7C0E">
        <w:rPr>
          <w:w w:val="105"/>
        </w:rPr>
        <w:t xml:space="preserve"> showed no overall reduced risk for injury</w:t>
      </w:r>
      <w:r w:rsidR="00875A6F">
        <w:rPr>
          <w:w w:val="105"/>
        </w:rPr>
        <w:t xml:space="preserve"> as compared to </w:t>
      </w:r>
      <w:r w:rsidR="00852087">
        <w:rPr>
          <w:w w:val="105"/>
        </w:rPr>
        <w:t>the non-committed cohort</w:t>
      </w:r>
      <w:r w:rsidRPr="001F7C0E">
        <w:rPr>
          <w:w w:val="105"/>
        </w:rPr>
        <w:t xml:space="preserve">. The researcher stressed it was the access to services that the outpatient commitment system brought that had efficacy. </w:t>
      </w:r>
    </w:p>
    <w:p w14:paraId="63F57917" w14:textId="77777777" w:rsidR="00B44DB7" w:rsidRDefault="00B44DB7" w:rsidP="00E9259E">
      <w:pPr>
        <w:pStyle w:val="CM8"/>
        <w:spacing w:line="240" w:lineRule="auto"/>
        <w:ind w:firstLine="647"/>
        <w:rPr>
          <w:w w:val="105"/>
        </w:rPr>
      </w:pPr>
    </w:p>
    <w:p w14:paraId="5E08756B" w14:textId="62973C4B" w:rsidR="002800FA" w:rsidRDefault="00D469EB" w:rsidP="00F70684">
      <w:pPr>
        <w:pStyle w:val="Default"/>
        <w:ind w:firstLine="647"/>
      </w:pPr>
      <w:r>
        <w:rPr>
          <w:w w:val="105"/>
        </w:rPr>
        <w:t>Oth</w:t>
      </w:r>
      <w:r w:rsidR="00E31C89">
        <w:rPr>
          <w:w w:val="105"/>
        </w:rPr>
        <w:t>er</w:t>
      </w:r>
      <w:r w:rsidR="00A302C0" w:rsidRPr="001F7C0E">
        <w:rPr>
          <w:w w:val="105"/>
        </w:rPr>
        <w:t xml:space="preserve"> telling example</w:t>
      </w:r>
      <w:r w:rsidR="00E31C89">
        <w:rPr>
          <w:w w:val="105"/>
        </w:rPr>
        <w:t>s</w:t>
      </w:r>
      <w:r w:rsidR="00A302C0" w:rsidRPr="001F7C0E">
        <w:rPr>
          <w:w w:val="105"/>
        </w:rPr>
        <w:t xml:space="preserve"> from this meta-analysis</w:t>
      </w:r>
      <w:r w:rsidR="00E31C89">
        <w:rPr>
          <w:w w:val="105"/>
        </w:rPr>
        <w:t xml:space="preserve"> contradict the claims of </w:t>
      </w:r>
      <w:r w:rsidR="006A4616">
        <w:rPr>
          <w:w w:val="105"/>
        </w:rPr>
        <w:t>advocates of involuntary outpatient commitment</w:t>
      </w:r>
      <w:r w:rsidR="00BC7847">
        <w:rPr>
          <w:w w:val="105"/>
        </w:rPr>
        <w:t xml:space="preserve">. </w:t>
      </w:r>
      <w:r w:rsidR="006A4616">
        <w:rPr>
          <w:w w:val="105"/>
        </w:rPr>
        <w:t xml:space="preserve">For instance, </w:t>
      </w:r>
      <w:r w:rsidR="00BA0672">
        <w:rPr>
          <w:w w:val="105"/>
        </w:rPr>
        <w:t>o</w:t>
      </w:r>
      <w:r w:rsidR="00A302C0" w:rsidRPr="001F7C0E">
        <w:rPr>
          <w:w w:val="105"/>
        </w:rPr>
        <w:t xml:space="preserve">utpatient commitment was associated </w:t>
      </w:r>
      <w:r w:rsidR="00A302C0" w:rsidRPr="001F7C0E">
        <w:rPr>
          <w:w w:val="105"/>
        </w:rPr>
        <w:lastRenderedPageBreak/>
        <w:t>with increased access to acute</w:t>
      </w:r>
      <w:r w:rsidR="006A4616">
        <w:rPr>
          <w:w w:val="105"/>
        </w:rPr>
        <w:t xml:space="preserve"> </w:t>
      </w:r>
      <w:r w:rsidR="00A302C0" w:rsidRPr="001F7C0E">
        <w:rPr>
          <w:w w:val="105"/>
        </w:rPr>
        <w:t>medical care</w:t>
      </w:r>
      <w:r w:rsidR="006A4616">
        <w:rPr>
          <w:w w:val="105"/>
        </w:rPr>
        <w:t xml:space="preserve"> for non-psychiatric conditions.</w:t>
      </w:r>
      <w:r w:rsidR="005D6B6E">
        <w:rPr>
          <w:w w:val="105"/>
        </w:rPr>
        <w:t xml:space="preserve"> However</w:t>
      </w:r>
      <w:r w:rsidR="00467131">
        <w:rPr>
          <w:w w:val="105"/>
        </w:rPr>
        <w:t>,</w:t>
      </w:r>
      <w:r w:rsidR="00423EE8">
        <w:rPr>
          <w:w w:val="105"/>
        </w:rPr>
        <w:t xml:space="preserve"> </w:t>
      </w:r>
      <w:r w:rsidR="00A302C0" w:rsidRPr="001F7C0E">
        <w:rPr>
          <w:w w:val="105"/>
        </w:rPr>
        <w:t xml:space="preserve">once </w:t>
      </w:r>
      <w:r w:rsidR="005D6B6E">
        <w:rPr>
          <w:w w:val="105"/>
        </w:rPr>
        <w:t xml:space="preserve">individuals </w:t>
      </w:r>
      <w:r w:rsidR="00A54288">
        <w:rPr>
          <w:w w:val="105"/>
        </w:rPr>
        <w:t>(</w:t>
      </w:r>
      <w:r w:rsidR="00A302C0" w:rsidRPr="001F7C0E">
        <w:rPr>
          <w:w w:val="105"/>
        </w:rPr>
        <w:t xml:space="preserve">with and without outpatient commitment </w:t>
      </w:r>
      <w:r w:rsidR="00423EE8">
        <w:rPr>
          <w:w w:val="105"/>
        </w:rPr>
        <w:t>orders</w:t>
      </w:r>
      <w:r w:rsidR="00A54288">
        <w:rPr>
          <w:w w:val="105"/>
        </w:rPr>
        <w:t xml:space="preserve">) </w:t>
      </w:r>
      <w:r w:rsidR="00AB4719">
        <w:rPr>
          <w:w w:val="105"/>
        </w:rPr>
        <w:t>received entry into the medical service system</w:t>
      </w:r>
      <w:r w:rsidR="00A54288">
        <w:rPr>
          <w:w w:val="105"/>
        </w:rPr>
        <w:t>, they</w:t>
      </w:r>
      <w:r w:rsidR="00423EE8">
        <w:rPr>
          <w:w w:val="105"/>
        </w:rPr>
        <w:t xml:space="preserve"> received </w:t>
      </w:r>
      <w:r w:rsidR="00A302C0" w:rsidRPr="001F7C0E">
        <w:rPr>
          <w:w w:val="105"/>
        </w:rPr>
        <w:t xml:space="preserve">equal access to medical procedures for health conditions requiring emergency room or hospital admission. </w:t>
      </w:r>
      <w:r w:rsidR="009258DD">
        <w:rPr>
          <w:w w:val="105"/>
        </w:rPr>
        <w:t xml:space="preserve">Thus, </w:t>
      </w:r>
      <w:r w:rsidR="009F7CBB">
        <w:rPr>
          <w:w w:val="105"/>
        </w:rPr>
        <w:t>the</w:t>
      </w:r>
      <w:r w:rsidR="00AB4719">
        <w:rPr>
          <w:w w:val="105"/>
        </w:rPr>
        <w:t xml:space="preserve"> </w:t>
      </w:r>
      <w:r w:rsidR="00254D5B">
        <w:rPr>
          <w:w w:val="105"/>
        </w:rPr>
        <w:t xml:space="preserve">only </w:t>
      </w:r>
      <w:r w:rsidR="00AB4719">
        <w:rPr>
          <w:w w:val="105"/>
        </w:rPr>
        <w:t xml:space="preserve">benefit of </w:t>
      </w:r>
      <w:r w:rsidR="00254D5B">
        <w:rPr>
          <w:w w:val="105"/>
        </w:rPr>
        <w:t xml:space="preserve">involuntary </w:t>
      </w:r>
      <w:r w:rsidR="009258DD">
        <w:rPr>
          <w:w w:val="105"/>
        </w:rPr>
        <w:t xml:space="preserve">outpatient commitment </w:t>
      </w:r>
      <w:r w:rsidR="00AB4719">
        <w:rPr>
          <w:w w:val="105"/>
        </w:rPr>
        <w:t xml:space="preserve">was in facilitating </w:t>
      </w:r>
      <w:r w:rsidR="00AB4719" w:rsidRPr="00F03F00">
        <w:rPr>
          <w:i/>
          <w:iCs/>
          <w:w w:val="105"/>
        </w:rPr>
        <w:t>access</w:t>
      </w:r>
      <w:r w:rsidR="006A4616">
        <w:rPr>
          <w:w w:val="105"/>
        </w:rPr>
        <w:t xml:space="preserve"> to </w:t>
      </w:r>
      <w:r w:rsidR="00B45BA4">
        <w:rPr>
          <w:w w:val="105"/>
        </w:rPr>
        <w:t xml:space="preserve">acute </w:t>
      </w:r>
      <w:r w:rsidR="00F03F00">
        <w:rPr>
          <w:w w:val="105"/>
        </w:rPr>
        <w:t xml:space="preserve">medical </w:t>
      </w:r>
      <w:r w:rsidR="00B45BA4">
        <w:rPr>
          <w:w w:val="105"/>
        </w:rPr>
        <w:t>car</w:t>
      </w:r>
      <w:r w:rsidR="00A01284">
        <w:rPr>
          <w:w w:val="105"/>
        </w:rPr>
        <w:t>e</w:t>
      </w:r>
      <w:r w:rsidR="00254D5B">
        <w:rPr>
          <w:w w:val="105"/>
        </w:rPr>
        <w:t xml:space="preserve">; it </w:t>
      </w:r>
      <w:r w:rsidR="00A01284">
        <w:rPr>
          <w:w w:val="105"/>
        </w:rPr>
        <w:t xml:space="preserve">did not improve </w:t>
      </w:r>
      <w:r w:rsidR="003A0202">
        <w:rPr>
          <w:w w:val="105"/>
        </w:rPr>
        <w:t>health outcomes</w:t>
      </w:r>
      <w:r w:rsidR="00A01284">
        <w:rPr>
          <w:w w:val="105"/>
        </w:rPr>
        <w:t xml:space="preserve"> for those who had </w:t>
      </w:r>
      <w:r w:rsidR="00F94E23">
        <w:rPr>
          <w:w w:val="105"/>
        </w:rPr>
        <w:t xml:space="preserve">such </w:t>
      </w:r>
      <w:r w:rsidR="00A01284">
        <w:rPr>
          <w:w w:val="105"/>
        </w:rPr>
        <w:t>access</w:t>
      </w:r>
      <w:r w:rsidR="003A0202">
        <w:rPr>
          <w:w w:val="105"/>
        </w:rPr>
        <w:t xml:space="preserve">. </w:t>
      </w:r>
      <w:r w:rsidR="00165493" w:rsidRPr="00165493">
        <w:rPr>
          <w:rStyle w:val="Heading1Char"/>
        </w:rPr>
        <w:t xml:space="preserve"> </w:t>
      </w:r>
    </w:p>
    <w:p w14:paraId="5DF98E1C" w14:textId="77777777" w:rsidR="002800FA" w:rsidRPr="00F70684" w:rsidRDefault="002800FA" w:rsidP="00F70684">
      <w:pPr>
        <w:pStyle w:val="Default"/>
      </w:pPr>
    </w:p>
    <w:p w14:paraId="4759A49E" w14:textId="15319C56" w:rsidR="00A302C0" w:rsidRDefault="00A302C0" w:rsidP="00F60CE9">
      <w:pPr>
        <w:pStyle w:val="CM8"/>
        <w:spacing w:line="240" w:lineRule="auto"/>
        <w:ind w:firstLine="647"/>
      </w:pPr>
      <w:r w:rsidRPr="001F7C0E">
        <w:rPr>
          <w:w w:val="105"/>
        </w:rPr>
        <w:t>The same meta-analysis also looked at medication compliance</w:t>
      </w:r>
      <w:r w:rsidR="00215F77">
        <w:rPr>
          <w:w w:val="105"/>
        </w:rPr>
        <w:t xml:space="preserve">, </w:t>
      </w:r>
      <w:r w:rsidR="00DB0469">
        <w:rPr>
          <w:w w:val="105"/>
        </w:rPr>
        <w:t>comparing the</w:t>
      </w:r>
      <w:r w:rsidRPr="001F7C0E">
        <w:rPr>
          <w:w w:val="105"/>
        </w:rPr>
        <w:t xml:space="preserve"> compliance of patients </w:t>
      </w:r>
      <w:r w:rsidR="009A1D81">
        <w:rPr>
          <w:w w:val="105"/>
        </w:rPr>
        <w:t xml:space="preserve">subject to </w:t>
      </w:r>
      <w:r w:rsidRPr="001F7C0E">
        <w:rPr>
          <w:w w:val="105"/>
        </w:rPr>
        <w:t xml:space="preserve">outpatient commitment </w:t>
      </w:r>
      <w:r w:rsidR="009A1D81">
        <w:rPr>
          <w:w w:val="105"/>
        </w:rPr>
        <w:t xml:space="preserve">orders </w:t>
      </w:r>
      <w:r w:rsidR="00B748A9">
        <w:rPr>
          <w:w w:val="105"/>
        </w:rPr>
        <w:t xml:space="preserve">with the compliance of </w:t>
      </w:r>
      <w:r w:rsidRPr="001F7C0E">
        <w:rPr>
          <w:w w:val="105"/>
        </w:rPr>
        <w:t xml:space="preserve">patients hospitalized but not </w:t>
      </w:r>
      <w:r w:rsidR="009A1D81">
        <w:rPr>
          <w:w w:val="105"/>
        </w:rPr>
        <w:t xml:space="preserve">subject to </w:t>
      </w:r>
      <w:r w:rsidRPr="001F7C0E">
        <w:rPr>
          <w:w w:val="105"/>
        </w:rPr>
        <w:t>outpatient commitment</w:t>
      </w:r>
      <w:r w:rsidR="00624777">
        <w:rPr>
          <w:w w:val="105"/>
        </w:rPr>
        <w:t xml:space="preserve">. </w:t>
      </w:r>
      <w:r w:rsidR="00B748A9">
        <w:rPr>
          <w:w w:val="105"/>
        </w:rPr>
        <w:t xml:space="preserve">The study found equal levels of compliance for these two groups. </w:t>
      </w:r>
      <w:r w:rsidR="006A4616">
        <w:rPr>
          <w:w w:val="105"/>
        </w:rPr>
        <w:t xml:space="preserve">And </w:t>
      </w:r>
      <w:r w:rsidR="00315DEB">
        <w:rPr>
          <w:w w:val="105"/>
        </w:rPr>
        <w:t xml:space="preserve">the meta-analysis </w:t>
      </w:r>
      <w:r w:rsidR="006A4616">
        <w:rPr>
          <w:w w:val="105"/>
        </w:rPr>
        <w:t>also concluded that</w:t>
      </w:r>
      <w:r w:rsidR="00EC191D">
        <w:rPr>
          <w:w w:val="105"/>
        </w:rPr>
        <w:t xml:space="preserve"> research </w:t>
      </w:r>
      <w:r w:rsidR="00B64204">
        <w:rPr>
          <w:w w:val="105"/>
        </w:rPr>
        <w:t xml:space="preserve">could not substantiate </w:t>
      </w:r>
      <w:r w:rsidR="00EC191D">
        <w:rPr>
          <w:w w:val="105"/>
        </w:rPr>
        <w:t xml:space="preserve">claims that involuntary outpatient commitment </w:t>
      </w:r>
      <w:r w:rsidR="00135874">
        <w:rPr>
          <w:w w:val="105"/>
        </w:rPr>
        <w:t>reduces hospital stays.</w:t>
      </w:r>
      <w:r w:rsidRPr="001F7C0E">
        <w:rPr>
          <w:rStyle w:val="FootnoteReference"/>
        </w:rPr>
        <w:footnoteReference w:id="7"/>
      </w:r>
      <w:r w:rsidRPr="001F7C0E">
        <w:t xml:space="preserve"> </w:t>
      </w:r>
    </w:p>
    <w:p w14:paraId="7B5D5CAC" w14:textId="77777777" w:rsidR="00BE3D0E" w:rsidRPr="00BE3D0E" w:rsidRDefault="00BE3D0E" w:rsidP="00BE3D0E">
      <w:pPr>
        <w:pStyle w:val="Default"/>
      </w:pPr>
    </w:p>
    <w:p w14:paraId="72174DA0" w14:textId="3B2DCE21" w:rsidR="00A302C0" w:rsidRPr="001F7C0E" w:rsidRDefault="00A302C0" w:rsidP="00F60CE9">
      <w:pPr>
        <w:pStyle w:val="CM16"/>
        <w:ind w:firstLine="647"/>
        <w:rPr>
          <w:color w:val="000000"/>
        </w:rPr>
      </w:pPr>
      <w:r w:rsidRPr="001F7C0E">
        <w:rPr>
          <w:color w:val="000000"/>
        </w:rPr>
        <w:t>There is no dispute that “intensive community treatments produce good outcomes.”</w:t>
      </w:r>
      <w:r w:rsidRPr="001F7C0E">
        <w:rPr>
          <w:rStyle w:val="FootnoteReference"/>
          <w:color w:val="000000"/>
        </w:rPr>
        <w:footnoteReference w:id="8"/>
      </w:r>
      <w:r w:rsidRPr="001F7C0E">
        <w:rPr>
          <w:color w:val="000000"/>
        </w:rPr>
        <w:t xml:space="preserve"> However, before investing in a hug</w:t>
      </w:r>
      <w:r w:rsidR="00F60CE9">
        <w:rPr>
          <w:color w:val="000000"/>
        </w:rPr>
        <w:t xml:space="preserve">e and </w:t>
      </w:r>
      <w:r w:rsidR="00C20073">
        <w:rPr>
          <w:color w:val="000000"/>
        </w:rPr>
        <w:t>expensive</w:t>
      </w:r>
      <w:r w:rsidRPr="001F7C0E">
        <w:rPr>
          <w:color w:val="000000"/>
        </w:rPr>
        <w:t xml:space="preserve"> involuntary outpatient commitment enforcement infrastructure, it is critical to </w:t>
      </w:r>
      <w:r w:rsidR="006A4616">
        <w:rPr>
          <w:color w:val="000000"/>
        </w:rPr>
        <w:t xml:space="preserve">determine if the data demonstrate </w:t>
      </w:r>
      <w:r w:rsidRPr="001F7C0E">
        <w:rPr>
          <w:color w:val="000000"/>
        </w:rPr>
        <w:t xml:space="preserve">any positive impact from programs </w:t>
      </w:r>
      <w:r w:rsidR="003519D8">
        <w:rPr>
          <w:color w:val="000000"/>
        </w:rPr>
        <w:t xml:space="preserve">that </w:t>
      </w:r>
      <w:r w:rsidR="0058436E">
        <w:rPr>
          <w:color w:val="000000"/>
        </w:rPr>
        <w:t xml:space="preserve">employ </w:t>
      </w:r>
      <w:r w:rsidRPr="001F7C0E">
        <w:rPr>
          <w:color w:val="000000"/>
        </w:rPr>
        <w:t>coercion in tandem with services.</w:t>
      </w:r>
      <w:r w:rsidR="006A4616">
        <w:rPr>
          <w:color w:val="000000"/>
        </w:rPr>
        <w:t xml:space="preserve"> The research to date demonstrate</w:t>
      </w:r>
      <w:r w:rsidR="00C8644A">
        <w:rPr>
          <w:color w:val="000000"/>
        </w:rPr>
        <w:t>s</w:t>
      </w:r>
      <w:r w:rsidR="006A4616">
        <w:rPr>
          <w:color w:val="000000"/>
        </w:rPr>
        <w:t xml:space="preserve"> that there is not</w:t>
      </w:r>
      <w:r w:rsidR="00C8644A">
        <w:rPr>
          <w:color w:val="000000"/>
        </w:rPr>
        <w:t xml:space="preserve"> any benefit from imposing a </w:t>
      </w:r>
      <w:r w:rsidR="003C3B53">
        <w:rPr>
          <w:color w:val="000000"/>
        </w:rPr>
        <w:t xml:space="preserve">system </w:t>
      </w:r>
      <w:r w:rsidR="00C8644A">
        <w:rPr>
          <w:color w:val="000000"/>
        </w:rPr>
        <w:t xml:space="preserve">of coercion on </w:t>
      </w:r>
      <w:r w:rsidR="00342AFD">
        <w:rPr>
          <w:color w:val="000000"/>
        </w:rPr>
        <w:t xml:space="preserve">our </w:t>
      </w:r>
      <w:r w:rsidR="00C8644A">
        <w:rPr>
          <w:color w:val="000000"/>
        </w:rPr>
        <w:t>community service</w:t>
      </w:r>
      <w:r w:rsidR="000313F0">
        <w:rPr>
          <w:color w:val="000000"/>
        </w:rPr>
        <w:t>s</w:t>
      </w:r>
      <w:r w:rsidR="00342AFD">
        <w:rPr>
          <w:color w:val="000000"/>
        </w:rPr>
        <w:t xml:space="preserve"> </w:t>
      </w:r>
      <w:r w:rsidR="00C8644A">
        <w:rPr>
          <w:color w:val="000000"/>
        </w:rPr>
        <w:t>and</w:t>
      </w:r>
      <w:r w:rsidR="00DF4B01">
        <w:rPr>
          <w:color w:val="000000"/>
        </w:rPr>
        <w:t>,</w:t>
      </w:r>
      <w:r w:rsidR="00C8644A">
        <w:rPr>
          <w:color w:val="000000"/>
        </w:rPr>
        <w:t xml:space="preserve"> conversely, that absent a significant expansion of community services, there is no discernible benefit from involuntary outpatient commitment</w:t>
      </w:r>
      <w:r w:rsidR="00BC7847">
        <w:rPr>
          <w:color w:val="000000"/>
        </w:rPr>
        <w:t xml:space="preserve">. </w:t>
      </w:r>
    </w:p>
    <w:p w14:paraId="17033250" w14:textId="77777777" w:rsidR="007B6F5B" w:rsidRDefault="007B6F5B" w:rsidP="007B6F5B">
      <w:pPr>
        <w:pStyle w:val="CM15"/>
        <w:ind w:right="247" w:firstLine="720"/>
        <w:rPr>
          <w:color w:val="000000"/>
        </w:rPr>
      </w:pPr>
    </w:p>
    <w:p w14:paraId="4228BBEE" w14:textId="22984E62" w:rsidR="007B6F5B" w:rsidRDefault="001268D2" w:rsidP="007B6F5B">
      <w:pPr>
        <w:pStyle w:val="CM15"/>
        <w:ind w:right="247" w:firstLine="720"/>
        <w:rPr>
          <w:color w:val="000000"/>
        </w:rPr>
      </w:pPr>
      <w:r>
        <w:rPr>
          <w:color w:val="000000"/>
        </w:rPr>
        <w:t xml:space="preserve">This imperative becomes even more urgent when the negative impact of </w:t>
      </w:r>
      <w:r w:rsidR="00A302C0" w:rsidRPr="001F7C0E">
        <w:rPr>
          <w:color w:val="000000"/>
        </w:rPr>
        <w:t xml:space="preserve">coercion </w:t>
      </w:r>
      <w:r>
        <w:rPr>
          <w:color w:val="000000"/>
        </w:rPr>
        <w:t>is factored</w:t>
      </w:r>
      <w:r w:rsidR="00A302C0" w:rsidRPr="001F7C0E">
        <w:rPr>
          <w:color w:val="000000"/>
        </w:rPr>
        <w:t>. A study of the impact of “Kendra’s Law” in New York concluded that “perceived coercion has [negative] consequences.”</w:t>
      </w:r>
      <w:r w:rsidR="00A302C0" w:rsidRPr="001F7C0E">
        <w:rPr>
          <w:rStyle w:val="FootnoteReference"/>
          <w:color w:val="000000"/>
        </w:rPr>
        <w:footnoteReference w:id="9"/>
      </w:r>
      <w:r w:rsidR="00A302C0" w:rsidRPr="001F7C0E">
        <w:rPr>
          <w:color w:val="000000"/>
        </w:rPr>
        <w:t xml:space="preserve"> </w:t>
      </w:r>
      <w:r w:rsidR="00F7559F">
        <w:rPr>
          <w:color w:val="000000"/>
        </w:rPr>
        <w:t>It</w:t>
      </w:r>
      <w:r w:rsidR="00A302C0" w:rsidRPr="001F7C0E">
        <w:rPr>
          <w:color w:val="000000"/>
        </w:rPr>
        <w:t xml:space="preserve"> is “significantly associated” with involuntary hospitalization and has “detrimental effects on perceived stigma, quality of life, and self</w:t>
      </w:r>
      <w:r w:rsidR="00A302C0">
        <w:rPr>
          <w:color w:val="000000"/>
        </w:rPr>
        <w:t>-</w:t>
      </w:r>
      <w:r w:rsidR="00A302C0" w:rsidRPr="001F7C0E">
        <w:rPr>
          <w:color w:val="000000"/>
        </w:rPr>
        <w:t>esteem.”</w:t>
      </w:r>
      <w:r w:rsidR="00A302C0" w:rsidRPr="001F7C0E">
        <w:rPr>
          <w:rStyle w:val="FootnoteReference"/>
          <w:color w:val="000000"/>
        </w:rPr>
        <w:footnoteReference w:id="10"/>
      </w:r>
    </w:p>
    <w:p w14:paraId="0309D835" w14:textId="11C4B38C" w:rsidR="00A302C0" w:rsidRPr="001F7C0E" w:rsidRDefault="00A302C0" w:rsidP="00E9259E">
      <w:pPr>
        <w:pStyle w:val="CM15"/>
        <w:ind w:right="247" w:firstLine="720"/>
        <w:rPr>
          <w:color w:val="000000"/>
        </w:rPr>
      </w:pPr>
      <w:r w:rsidRPr="001F7C0E">
        <w:rPr>
          <w:color w:val="000000"/>
        </w:rPr>
        <w:t xml:space="preserve"> </w:t>
      </w:r>
    </w:p>
    <w:p w14:paraId="2BB81E14" w14:textId="7B903339" w:rsidR="00A302C0" w:rsidRPr="002171F9" w:rsidRDefault="00296BB0" w:rsidP="00DF4B01">
      <w:pPr>
        <w:pStyle w:val="CM15"/>
        <w:ind w:right="100" w:firstLine="647"/>
        <w:rPr>
          <w:color w:val="000000"/>
        </w:rPr>
      </w:pPr>
      <w:r>
        <w:rPr>
          <w:color w:val="000000"/>
        </w:rPr>
        <w:t>The full body of research on involuntary outpatient commitment to date, therefore, gives</w:t>
      </w:r>
      <w:r w:rsidR="00A302C0" w:rsidRPr="001F7C0E">
        <w:rPr>
          <w:color w:val="000000"/>
        </w:rPr>
        <w:t xml:space="preserve"> little reason to question the </w:t>
      </w:r>
      <w:r>
        <w:rPr>
          <w:color w:val="000000"/>
        </w:rPr>
        <w:t xml:space="preserve">2003 </w:t>
      </w:r>
      <w:r w:rsidR="00A302C0" w:rsidRPr="001F7C0E">
        <w:rPr>
          <w:color w:val="000000"/>
        </w:rPr>
        <w:t>findings of the President's New Freedom Commission on Mental Health</w:t>
      </w:r>
      <w:r>
        <w:rPr>
          <w:color w:val="000000"/>
        </w:rPr>
        <w:t xml:space="preserve">. The </w:t>
      </w:r>
      <w:r w:rsidR="00A302C0" w:rsidRPr="001F7C0E">
        <w:rPr>
          <w:color w:val="000000"/>
        </w:rPr>
        <w:t xml:space="preserve">report </w:t>
      </w:r>
      <w:r>
        <w:rPr>
          <w:color w:val="000000"/>
        </w:rPr>
        <w:t xml:space="preserve">called </w:t>
      </w:r>
      <w:r w:rsidR="00A302C0" w:rsidRPr="001F7C0E">
        <w:rPr>
          <w:color w:val="000000"/>
        </w:rPr>
        <w:t xml:space="preserve">for dramatic increases in community mental health services </w:t>
      </w:r>
      <w:r w:rsidR="00A45363">
        <w:rPr>
          <w:color w:val="000000"/>
        </w:rPr>
        <w:lastRenderedPageBreak/>
        <w:t xml:space="preserve">but urged that these services </w:t>
      </w:r>
      <w:r w:rsidR="00A302C0" w:rsidRPr="001F7C0E">
        <w:rPr>
          <w:color w:val="000000"/>
        </w:rPr>
        <w:t>be delivered on a voluntary basis.</w:t>
      </w:r>
      <w:r w:rsidR="00A302C0" w:rsidRPr="001F7C0E">
        <w:rPr>
          <w:rStyle w:val="FootnoteReference"/>
          <w:color w:val="000000"/>
        </w:rPr>
        <w:footnoteReference w:id="11"/>
      </w:r>
      <w:r w:rsidR="00A302C0" w:rsidRPr="001F7C0E">
        <w:rPr>
          <w:color w:val="000000"/>
        </w:rPr>
        <w:t xml:space="preserve"> </w:t>
      </w:r>
    </w:p>
    <w:p w14:paraId="60F7CE3E" w14:textId="77777777" w:rsidR="007B6F5B" w:rsidRDefault="007B6F5B" w:rsidP="007B6F5B">
      <w:pPr>
        <w:pStyle w:val="CM8"/>
        <w:spacing w:line="240" w:lineRule="auto"/>
        <w:ind w:firstLine="647"/>
        <w:rPr>
          <w:color w:val="000000"/>
        </w:rPr>
      </w:pPr>
    </w:p>
    <w:p w14:paraId="475593E4" w14:textId="77777777" w:rsidR="00192F4C" w:rsidRDefault="004B3C96" w:rsidP="00DF4B01">
      <w:pPr>
        <w:pStyle w:val="CM8"/>
        <w:spacing w:line="240" w:lineRule="auto"/>
        <w:ind w:firstLine="647"/>
        <w:rPr>
          <w:color w:val="000000"/>
        </w:rPr>
      </w:pPr>
      <w:r>
        <w:rPr>
          <w:color w:val="000000"/>
        </w:rPr>
        <w:t xml:space="preserve">This wisdom is </w:t>
      </w:r>
      <w:r w:rsidR="00C8644A">
        <w:rPr>
          <w:color w:val="000000"/>
        </w:rPr>
        <w:t xml:space="preserve">further </w:t>
      </w:r>
      <w:r>
        <w:rPr>
          <w:color w:val="000000"/>
        </w:rPr>
        <w:t xml:space="preserve">underscored by the fact that forced </w:t>
      </w:r>
      <w:r w:rsidR="00F7520C">
        <w:rPr>
          <w:color w:val="000000"/>
        </w:rPr>
        <w:t xml:space="preserve">acceptance of services creates legal obligations that can distort the distribution of such services among those who need them. </w:t>
      </w:r>
      <w:r w:rsidR="00A302C0" w:rsidRPr="001F7C0E">
        <w:rPr>
          <w:color w:val="000000"/>
        </w:rPr>
        <w:t xml:space="preserve">In </w:t>
      </w:r>
      <w:r w:rsidR="00A302C0" w:rsidRPr="001F7C0E">
        <w:rPr>
          <w:i/>
          <w:iCs/>
          <w:color w:val="000000"/>
        </w:rPr>
        <w:t>Youngberg v. Romeo</w:t>
      </w:r>
      <w:r w:rsidR="00A302C0" w:rsidRPr="001F7C0E">
        <w:rPr>
          <w:color w:val="000000"/>
        </w:rPr>
        <w:t xml:space="preserve">, the Supreme Court </w:t>
      </w:r>
      <w:r w:rsidR="00F7520C">
        <w:rPr>
          <w:color w:val="000000"/>
        </w:rPr>
        <w:t>held</w:t>
      </w:r>
      <w:r w:rsidR="00A302C0" w:rsidRPr="001F7C0E">
        <w:rPr>
          <w:color w:val="000000"/>
        </w:rPr>
        <w:t xml:space="preserve"> that when a person is involuntarily committed, the state has</w:t>
      </w:r>
      <w:r w:rsidR="00BB482F">
        <w:rPr>
          <w:color w:val="000000"/>
        </w:rPr>
        <w:t xml:space="preserve">, among its duties, </w:t>
      </w:r>
      <w:r w:rsidR="00A302C0" w:rsidRPr="001F7C0E">
        <w:rPr>
          <w:color w:val="000000"/>
        </w:rPr>
        <w:t xml:space="preserve">to ensure </w:t>
      </w:r>
      <w:r w:rsidR="000F56D1">
        <w:rPr>
          <w:color w:val="000000"/>
        </w:rPr>
        <w:t xml:space="preserve">that </w:t>
      </w:r>
      <w:r w:rsidR="00A302C0" w:rsidRPr="001F7C0E">
        <w:rPr>
          <w:color w:val="000000"/>
        </w:rPr>
        <w:t>the person is provided minimally adequate treatment.</w:t>
      </w:r>
      <w:r w:rsidR="00A302C0" w:rsidRPr="001F7C0E">
        <w:rPr>
          <w:rStyle w:val="FootnoteReference"/>
          <w:color w:val="000000"/>
        </w:rPr>
        <w:footnoteReference w:id="12"/>
      </w:r>
      <w:r w:rsidR="00526C14">
        <w:rPr>
          <w:i/>
          <w:iCs/>
          <w:color w:val="000000"/>
        </w:rPr>
        <w:t xml:space="preserve"> </w:t>
      </w:r>
      <w:r w:rsidR="00A302C0" w:rsidRPr="001F7C0E">
        <w:rPr>
          <w:color w:val="000000"/>
        </w:rPr>
        <w:t>Thus, involuntary outpatient commitment arguably creates a</w:t>
      </w:r>
      <w:r w:rsidR="000F56D1">
        <w:rPr>
          <w:color w:val="000000"/>
        </w:rPr>
        <w:t xml:space="preserve"> legal</w:t>
      </w:r>
      <w:r w:rsidR="00A302C0" w:rsidRPr="001F7C0E">
        <w:rPr>
          <w:color w:val="000000"/>
        </w:rPr>
        <w:t xml:space="preserve"> entitlement to community-based mental health treatment</w:t>
      </w:r>
      <w:r w:rsidR="00C541F4">
        <w:rPr>
          <w:color w:val="000000"/>
        </w:rPr>
        <w:t xml:space="preserve">, including </w:t>
      </w:r>
      <w:r w:rsidR="00A302C0" w:rsidRPr="001F7C0E">
        <w:rPr>
          <w:color w:val="000000"/>
        </w:rPr>
        <w:t xml:space="preserve">all services which may be included in a court-ordered treatment plan. This obligation obviously intensifies the already-existing challenges of meeting the need for community mental health services for the </w:t>
      </w:r>
      <w:r w:rsidR="00C8644A">
        <w:rPr>
          <w:color w:val="000000"/>
        </w:rPr>
        <w:t xml:space="preserve">general </w:t>
      </w:r>
      <w:r w:rsidR="00A302C0" w:rsidRPr="001F7C0E">
        <w:rPr>
          <w:color w:val="000000"/>
        </w:rPr>
        <w:t>population</w:t>
      </w:r>
      <w:r w:rsidR="00C8644A">
        <w:rPr>
          <w:color w:val="000000"/>
        </w:rPr>
        <w:t>,</w:t>
      </w:r>
      <w:r w:rsidR="00A302C0" w:rsidRPr="001F7C0E">
        <w:rPr>
          <w:color w:val="000000"/>
        </w:rPr>
        <w:t xml:space="preserve"> </w:t>
      </w:r>
      <w:r w:rsidR="00C8644A">
        <w:rPr>
          <w:color w:val="000000"/>
        </w:rPr>
        <w:t>and particularly the subset of people with mental health conditions who need and are voluntarily willing to participate in community treatment but cannot obtain that care.</w:t>
      </w:r>
      <w:r w:rsidR="00A302C0" w:rsidRPr="001F7C0E">
        <w:rPr>
          <w:color w:val="000000"/>
        </w:rPr>
        <w:t xml:space="preserve"> </w:t>
      </w:r>
    </w:p>
    <w:p w14:paraId="52C6AE14" w14:textId="77777777" w:rsidR="00192F4C" w:rsidRDefault="00192F4C" w:rsidP="00DF4B01">
      <w:pPr>
        <w:pStyle w:val="CM8"/>
        <w:spacing w:line="240" w:lineRule="auto"/>
        <w:ind w:firstLine="647"/>
        <w:rPr>
          <w:color w:val="000000"/>
        </w:rPr>
      </w:pPr>
    </w:p>
    <w:p w14:paraId="18D0A55B" w14:textId="39176D3E" w:rsidR="002928BE" w:rsidRDefault="00A302C0" w:rsidP="00DF4B01">
      <w:pPr>
        <w:pStyle w:val="CM8"/>
        <w:spacing w:line="240" w:lineRule="auto"/>
        <w:ind w:firstLine="647"/>
        <w:rPr>
          <w:color w:val="000000"/>
        </w:rPr>
      </w:pPr>
      <w:r w:rsidRPr="001F7C0E">
        <w:rPr>
          <w:color w:val="000000"/>
        </w:rPr>
        <w:t xml:space="preserve">In states that lack adequate community mental health services or that are unwilling to create an entitlement to these services for involuntarily committed persons, involuntary outpatient commitment is </w:t>
      </w:r>
      <w:r w:rsidR="006D6BD4">
        <w:rPr>
          <w:color w:val="000000"/>
        </w:rPr>
        <w:t>both unfair and potentially illegal</w:t>
      </w:r>
      <w:r w:rsidRPr="001F7C0E">
        <w:rPr>
          <w:color w:val="000000"/>
        </w:rPr>
        <w:t xml:space="preserve">. </w:t>
      </w:r>
      <w:r>
        <w:rPr>
          <w:color w:val="000000"/>
        </w:rPr>
        <w:t xml:space="preserve">Although </w:t>
      </w:r>
      <w:r w:rsidRPr="001F7C0E">
        <w:rPr>
          <w:color w:val="000000"/>
        </w:rPr>
        <w:t>Massachusetts has invested</w:t>
      </w:r>
      <w:r w:rsidR="00E34AB0">
        <w:rPr>
          <w:color w:val="000000"/>
        </w:rPr>
        <w:t xml:space="preserve"> </w:t>
      </w:r>
      <w:r w:rsidR="00C8644A">
        <w:rPr>
          <w:color w:val="000000"/>
        </w:rPr>
        <w:t>in</w:t>
      </w:r>
      <w:r w:rsidRPr="001F7C0E">
        <w:rPr>
          <w:color w:val="000000"/>
        </w:rPr>
        <w:t xml:space="preserve"> community-based services</w:t>
      </w:r>
      <w:r>
        <w:rPr>
          <w:color w:val="000000"/>
        </w:rPr>
        <w:t>, it is generally acknowledged that the</w:t>
      </w:r>
      <w:r w:rsidR="00C8644A">
        <w:rPr>
          <w:color w:val="000000"/>
        </w:rPr>
        <w:t>se</w:t>
      </w:r>
      <w:r>
        <w:rPr>
          <w:color w:val="000000"/>
        </w:rPr>
        <w:t xml:space="preserve"> services </w:t>
      </w:r>
      <w:r w:rsidR="00C8644A">
        <w:rPr>
          <w:color w:val="000000"/>
        </w:rPr>
        <w:t xml:space="preserve">plainly </w:t>
      </w:r>
      <w:r>
        <w:rPr>
          <w:color w:val="000000"/>
        </w:rPr>
        <w:t>do not meet the need</w:t>
      </w:r>
      <w:r w:rsidR="00C8644A">
        <w:rPr>
          <w:color w:val="000000"/>
        </w:rPr>
        <w:t>, as evidenced by long waiting lists for mental health programs and overburdened emergency departments</w:t>
      </w:r>
      <w:r>
        <w:rPr>
          <w:color w:val="000000"/>
        </w:rPr>
        <w:t>. Creating a new entitlement to services for some persons may well result in a reduction of services to those who do not have such an entitlement.</w:t>
      </w:r>
      <w:r w:rsidRPr="001F7C0E">
        <w:rPr>
          <w:color w:val="000000"/>
        </w:rPr>
        <w:t xml:space="preserve"> </w:t>
      </w:r>
    </w:p>
    <w:p w14:paraId="5166C147" w14:textId="17645E8A" w:rsidR="00A302C0" w:rsidRDefault="00A302C0" w:rsidP="00A302C0">
      <w:pPr>
        <w:pStyle w:val="CM8"/>
        <w:ind w:firstLine="647"/>
        <w:rPr>
          <w:color w:val="000000"/>
        </w:rPr>
      </w:pPr>
    </w:p>
    <w:p w14:paraId="2C3295C5" w14:textId="72E1708C" w:rsidR="00BD55AD" w:rsidRPr="00942543" w:rsidRDefault="00C8644A" w:rsidP="00942543">
      <w:pPr>
        <w:pStyle w:val="Heading2"/>
        <w:ind w:left="647" w:hanging="647"/>
        <w:rPr>
          <w:i w:val="0"/>
          <w:iCs w:val="0"/>
        </w:rPr>
      </w:pPr>
      <w:r>
        <w:rPr>
          <w:i w:val="0"/>
          <w:iCs w:val="0"/>
        </w:rPr>
        <w:t>II</w:t>
      </w:r>
      <w:r w:rsidR="009D00E3">
        <w:rPr>
          <w:i w:val="0"/>
          <w:iCs w:val="0"/>
        </w:rPr>
        <w:t>I</w:t>
      </w:r>
      <w:r>
        <w:rPr>
          <w:i w:val="0"/>
          <w:iCs w:val="0"/>
        </w:rPr>
        <w:t>.</w:t>
      </w:r>
      <w:r>
        <w:rPr>
          <w:i w:val="0"/>
          <w:iCs w:val="0"/>
        </w:rPr>
        <w:tab/>
      </w:r>
      <w:r w:rsidRPr="007D044C">
        <w:rPr>
          <w:b/>
          <w:bCs/>
          <w:i w:val="0"/>
          <w:iCs w:val="0"/>
        </w:rPr>
        <w:t xml:space="preserve">DISPARITIES </w:t>
      </w:r>
      <w:r w:rsidR="00A45776" w:rsidRPr="007D044C">
        <w:rPr>
          <w:b/>
          <w:bCs/>
          <w:i w:val="0"/>
          <w:iCs w:val="0"/>
        </w:rPr>
        <w:t xml:space="preserve">IN THE AVAILABILITY OF </w:t>
      </w:r>
      <w:r w:rsidRPr="007D044C">
        <w:rPr>
          <w:b/>
          <w:bCs/>
          <w:i w:val="0"/>
          <w:iCs w:val="0"/>
        </w:rPr>
        <w:t>VOLUNTARY COMMUNITY MENTAL HEALTH SERVICES</w:t>
      </w:r>
      <w:r w:rsidR="008534D9" w:rsidRPr="007D044C">
        <w:rPr>
          <w:b/>
          <w:bCs/>
          <w:i w:val="0"/>
          <w:iCs w:val="0"/>
        </w:rPr>
        <w:t xml:space="preserve"> AND</w:t>
      </w:r>
      <w:r w:rsidR="00216B03" w:rsidRPr="007D044C">
        <w:rPr>
          <w:b/>
          <w:bCs/>
          <w:i w:val="0"/>
          <w:iCs w:val="0"/>
        </w:rPr>
        <w:t xml:space="preserve"> </w:t>
      </w:r>
      <w:r w:rsidR="006D6BD4" w:rsidRPr="007D044C">
        <w:rPr>
          <w:b/>
          <w:bCs/>
          <w:i w:val="0"/>
          <w:iCs w:val="0"/>
        </w:rPr>
        <w:t xml:space="preserve">DISPROPORTIONATE USE OF </w:t>
      </w:r>
      <w:r w:rsidR="008534D9" w:rsidRPr="007D044C">
        <w:rPr>
          <w:b/>
          <w:bCs/>
          <w:i w:val="0"/>
          <w:iCs w:val="0"/>
        </w:rPr>
        <w:t xml:space="preserve">COERCED TREATMENT </w:t>
      </w:r>
      <w:r w:rsidR="00665E10" w:rsidRPr="007D044C">
        <w:rPr>
          <w:b/>
          <w:bCs/>
          <w:i w:val="0"/>
          <w:iCs w:val="0"/>
        </w:rPr>
        <w:t>IN</w:t>
      </w:r>
      <w:r w:rsidR="00216B03" w:rsidRPr="007D044C">
        <w:rPr>
          <w:b/>
          <w:bCs/>
          <w:i w:val="0"/>
          <w:iCs w:val="0"/>
        </w:rPr>
        <w:t xml:space="preserve"> COMMUNITIES OF COLOR </w:t>
      </w:r>
      <w:r w:rsidR="006D6BD4" w:rsidRPr="007D044C">
        <w:rPr>
          <w:b/>
          <w:bCs/>
          <w:i w:val="0"/>
          <w:iCs w:val="0"/>
        </w:rPr>
        <w:t xml:space="preserve">SUGGEST THAT THE INTRODUCTION OF </w:t>
      </w:r>
      <w:r w:rsidR="007B6F5B" w:rsidRPr="007D044C">
        <w:rPr>
          <w:b/>
          <w:bCs/>
          <w:i w:val="0"/>
          <w:iCs w:val="0"/>
        </w:rPr>
        <w:t>INVOLUNTARY OUTPATIENT COMMITMENT</w:t>
      </w:r>
      <w:r w:rsidR="006D6BD4" w:rsidRPr="007D044C">
        <w:rPr>
          <w:b/>
          <w:bCs/>
          <w:i w:val="0"/>
          <w:iCs w:val="0"/>
        </w:rPr>
        <w:t xml:space="preserve"> WILL </w:t>
      </w:r>
      <w:r w:rsidR="00C647BC" w:rsidRPr="007D044C">
        <w:rPr>
          <w:b/>
          <w:bCs/>
          <w:i w:val="0"/>
          <w:iCs w:val="0"/>
        </w:rPr>
        <w:t xml:space="preserve">EXACERBATE </w:t>
      </w:r>
      <w:r w:rsidR="00E54CE1" w:rsidRPr="007D044C">
        <w:rPr>
          <w:b/>
          <w:bCs/>
          <w:i w:val="0"/>
          <w:iCs w:val="0"/>
        </w:rPr>
        <w:t>ALREADY EXISTING</w:t>
      </w:r>
      <w:r w:rsidR="006D6BD4" w:rsidRPr="007D044C">
        <w:rPr>
          <w:b/>
          <w:bCs/>
          <w:i w:val="0"/>
          <w:iCs w:val="0"/>
        </w:rPr>
        <w:t xml:space="preserve"> INEQUITIES</w:t>
      </w:r>
      <w:r w:rsidR="007B6F5B" w:rsidRPr="007D044C">
        <w:rPr>
          <w:b/>
          <w:bCs/>
          <w:i w:val="0"/>
          <w:iCs w:val="0"/>
        </w:rPr>
        <w:t>.</w:t>
      </w:r>
      <w:r>
        <w:rPr>
          <w:i w:val="0"/>
          <w:iCs w:val="0"/>
        </w:rPr>
        <w:t xml:space="preserve"> </w:t>
      </w:r>
    </w:p>
    <w:p w14:paraId="5E4B67CB" w14:textId="65C41CB6" w:rsidR="00FA5421" w:rsidRDefault="00BD55AD" w:rsidP="00E9259E">
      <w:pPr>
        <w:spacing w:after="0" w:line="240" w:lineRule="auto"/>
        <w:ind w:firstLine="720"/>
        <w:rPr>
          <w:rFonts w:eastAsia="Times New Roman"/>
          <w:color w:val="000000" w:themeColor="text1"/>
        </w:rPr>
      </w:pPr>
      <w:r w:rsidRPr="001F2BF2">
        <w:rPr>
          <w:rFonts w:eastAsia="Times New Roman"/>
          <w:color w:val="000000" w:themeColor="text1"/>
        </w:rPr>
        <w:t>Research s</w:t>
      </w:r>
      <w:r w:rsidR="009E33F2">
        <w:rPr>
          <w:rFonts w:eastAsia="Times New Roman"/>
          <w:color w:val="000000" w:themeColor="text1"/>
        </w:rPr>
        <w:t>uggests</w:t>
      </w:r>
      <w:r w:rsidRPr="001F2BF2">
        <w:rPr>
          <w:rFonts w:eastAsia="Times New Roman"/>
          <w:color w:val="000000" w:themeColor="text1"/>
        </w:rPr>
        <w:t xml:space="preserve"> that since involuntary outpatient commitment targets persons who have not accessed</w:t>
      </w:r>
      <w:r w:rsidRPr="001F2BF2">
        <w:rPr>
          <w:rFonts w:eastAsia="Times New Roman"/>
          <w:strike/>
          <w:color w:val="881798"/>
        </w:rPr>
        <w:t xml:space="preserve"> </w:t>
      </w:r>
      <w:r w:rsidRPr="001F2BF2">
        <w:rPr>
          <w:rFonts w:eastAsia="Times New Roman"/>
          <w:color w:val="000000" w:themeColor="text1"/>
        </w:rPr>
        <w:t xml:space="preserve">mental health services, it will likely be used disproportionately on Black, Indigenous, and people of color (BIPOC) community members. </w:t>
      </w:r>
    </w:p>
    <w:p w14:paraId="7ADB6479" w14:textId="77777777" w:rsidR="00FA5421" w:rsidRDefault="00FA5421" w:rsidP="00E9259E">
      <w:pPr>
        <w:spacing w:after="0" w:line="240" w:lineRule="auto"/>
        <w:ind w:firstLine="720"/>
        <w:rPr>
          <w:rFonts w:eastAsia="Times New Roman"/>
          <w:color w:val="000000" w:themeColor="text1"/>
        </w:rPr>
      </w:pPr>
    </w:p>
    <w:p w14:paraId="7A150230" w14:textId="4E4A8A8B" w:rsidR="00F82B66" w:rsidRDefault="00BD55AD" w:rsidP="00E9259E">
      <w:pPr>
        <w:spacing w:after="0" w:line="240" w:lineRule="auto"/>
        <w:ind w:firstLine="720"/>
        <w:rPr>
          <w:rFonts w:eastAsia="Times New Roman"/>
          <w:color w:val="000000" w:themeColor="text1"/>
        </w:rPr>
      </w:pPr>
      <w:r w:rsidRPr="001F2BF2">
        <w:rPr>
          <w:rFonts w:eastAsia="Times New Roman"/>
          <w:color w:val="000000" w:themeColor="text1"/>
        </w:rPr>
        <w:t xml:space="preserve">When compared to other groups, </w:t>
      </w:r>
      <w:r w:rsidR="00AD6E4D">
        <w:rPr>
          <w:rFonts w:eastAsia="Times New Roman"/>
          <w:color w:val="000000" w:themeColor="text1"/>
        </w:rPr>
        <w:t>racial and ethnic minorities</w:t>
      </w:r>
      <w:r w:rsidRPr="001F2BF2">
        <w:rPr>
          <w:rFonts w:eastAsia="Times New Roman"/>
          <w:color w:val="000000" w:themeColor="text1"/>
        </w:rPr>
        <w:t xml:space="preserve"> have </w:t>
      </w:r>
      <w:r w:rsidR="00AD6E4D">
        <w:rPr>
          <w:rFonts w:eastAsia="Times New Roman"/>
          <w:color w:val="000000" w:themeColor="text1"/>
        </w:rPr>
        <w:t>less</w:t>
      </w:r>
      <w:r w:rsidR="00AD6E4D" w:rsidRPr="001F2BF2">
        <w:rPr>
          <w:rFonts w:eastAsia="Times New Roman"/>
          <w:color w:val="000000" w:themeColor="text1"/>
        </w:rPr>
        <w:t xml:space="preserve"> </w:t>
      </w:r>
      <w:r w:rsidRPr="001F2BF2">
        <w:rPr>
          <w:rFonts w:eastAsia="Times New Roman"/>
          <w:color w:val="000000" w:themeColor="text1"/>
        </w:rPr>
        <w:t>access to mental health services</w:t>
      </w:r>
      <w:r w:rsidR="00AD6E4D">
        <w:rPr>
          <w:rFonts w:eastAsia="Times New Roman"/>
          <w:color w:val="000000" w:themeColor="text1"/>
        </w:rPr>
        <w:t xml:space="preserve"> than whites</w:t>
      </w:r>
      <w:r w:rsidRPr="001F2BF2">
        <w:rPr>
          <w:rFonts w:eastAsia="Times New Roman"/>
          <w:color w:val="000000" w:themeColor="text1"/>
        </w:rPr>
        <w:t>.</w:t>
      </w:r>
      <w:r w:rsidR="00AD6E4D">
        <w:rPr>
          <w:rStyle w:val="FootnoteReference"/>
          <w:rFonts w:eastAsia="Times New Roman"/>
          <w:color w:val="000000" w:themeColor="text1"/>
        </w:rPr>
        <w:footnoteReference w:id="13"/>
      </w:r>
      <w:r w:rsidR="008878F0">
        <w:rPr>
          <w:rFonts w:eastAsia="Times New Roman"/>
          <w:color w:val="000000" w:themeColor="text1"/>
        </w:rPr>
        <w:t xml:space="preserve"> </w:t>
      </w:r>
      <w:r w:rsidR="00AA57F3">
        <w:rPr>
          <w:rFonts w:eastAsia="Times New Roman"/>
          <w:color w:val="000000" w:themeColor="text1"/>
        </w:rPr>
        <w:t xml:space="preserve">Cultural misunderstandings between patient and clinician, clinician bias, and a fragmented mental health system </w:t>
      </w:r>
      <w:r w:rsidR="004E3981">
        <w:rPr>
          <w:rFonts w:eastAsia="Times New Roman"/>
          <w:color w:val="000000" w:themeColor="text1"/>
        </w:rPr>
        <w:t>are some of the reasons for this disparity</w:t>
      </w:r>
      <w:r w:rsidR="00AA57F3">
        <w:rPr>
          <w:rFonts w:eastAsia="Times New Roman"/>
          <w:color w:val="000000" w:themeColor="text1"/>
        </w:rPr>
        <w:t>.</w:t>
      </w:r>
      <w:r w:rsidR="00AA57F3">
        <w:rPr>
          <w:rStyle w:val="FootnoteReference"/>
          <w:rFonts w:eastAsia="Times New Roman"/>
          <w:color w:val="000000" w:themeColor="text1"/>
        </w:rPr>
        <w:footnoteReference w:id="14"/>
      </w:r>
      <w:r w:rsidR="00AA57F3">
        <w:rPr>
          <w:rFonts w:eastAsia="Times New Roman"/>
          <w:color w:val="000000" w:themeColor="text1"/>
        </w:rPr>
        <w:t xml:space="preserve"> In </w:t>
      </w:r>
      <w:r w:rsidR="00AA57F3">
        <w:rPr>
          <w:rFonts w:eastAsia="Times New Roman"/>
          <w:color w:val="000000" w:themeColor="text1"/>
        </w:rPr>
        <w:lastRenderedPageBreak/>
        <w:t xml:space="preserve">addition, </w:t>
      </w:r>
      <w:r w:rsidR="00753E6E" w:rsidRPr="6B3A19C0">
        <w:rPr>
          <w:rFonts w:eastAsia="Times New Roman"/>
          <w:color w:val="000000" w:themeColor="text1"/>
        </w:rPr>
        <w:t xml:space="preserve">it takes longer for </w:t>
      </w:r>
      <w:r w:rsidR="00753E6E">
        <w:rPr>
          <w:rFonts w:eastAsia="Times New Roman"/>
          <w:color w:val="000000" w:themeColor="text1"/>
        </w:rPr>
        <w:t xml:space="preserve">members of </w:t>
      </w:r>
      <w:r w:rsidR="00AA57F3">
        <w:rPr>
          <w:rFonts w:eastAsia="Times New Roman"/>
          <w:color w:val="000000" w:themeColor="text1"/>
        </w:rPr>
        <w:t xml:space="preserve">BIPOC </w:t>
      </w:r>
      <w:r w:rsidR="00753E6E">
        <w:rPr>
          <w:rFonts w:eastAsia="Times New Roman"/>
          <w:color w:val="000000" w:themeColor="text1"/>
        </w:rPr>
        <w:t xml:space="preserve">communities </w:t>
      </w:r>
      <w:r w:rsidR="00753E6E" w:rsidRPr="6B3A19C0">
        <w:rPr>
          <w:rFonts w:eastAsia="Times New Roman"/>
          <w:color w:val="000000" w:themeColor="text1"/>
        </w:rPr>
        <w:t>to be referred by a primary care provider to specialty psychiatric care.</w:t>
      </w:r>
      <w:r w:rsidR="00753E6E" w:rsidRPr="6B3A19C0">
        <w:rPr>
          <w:rStyle w:val="FootnoteReference"/>
          <w:rFonts w:eastAsia="Times New Roman"/>
          <w:color w:val="000000" w:themeColor="text1"/>
        </w:rPr>
        <w:footnoteReference w:id="15"/>
      </w:r>
      <w:r w:rsidR="00753E6E" w:rsidRPr="6B3A19C0">
        <w:rPr>
          <w:rFonts w:eastAsia="Times New Roman"/>
          <w:color w:val="000000" w:themeColor="text1"/>
        </w:rPr>
        <w:t xml:space="preserve"> </w:t>
      </w:r>
    </w:p>
    <w:p w14:paraId="259CF672" w14:textId="77777777" w:rsidR="00F82B66" w:rsidRDefault="00F82B66" w:rsidP="00E9259E">
      <w:pPr>
        <w:spacing w:after="0" w:line="240" w:lineRule="auto"/>
        <w:ind w:firstLine="720"/>
        <w:rPr>
          <w:rFonts w:eastAsia="Times New Roman"/>
          <w:color w:val="000000" w:themeColor="text1"/>
        </w:rPr>
      </w:pPr>
    </w:p>
    <w:p w14:paraId="6CD22BCE" w14:textId="16D649B8" w:rsidR="00BD55AD" w:rsidRDefault="004E3981" w:rsidP="00E9259E">
      <w:pPr>
        <w:spacing w:after="0" w:line="240" w:lineRule="auto"/>
        <w:ind w:firstLine="720"/>
        <w:rPr>
          <w:rFonts w:eastAsia="Times New Roman"/>
          <w:color w:val="000000" w:themeColor="text1"/>
        </w:rPr>
      </w:pPr>
      <w:r>
        <w:rPr>
          <w:rFonts w:eastAsia="Times New Roman"/>
          <w:color w:val="000000" w:themeColor="text1"/>
        </w:rPr>
        <w:t xml:space="preserve">When </w:t>
      </w:r>
      <w:r w:rsidR="00F82B66">
        <w:rPr>
          <w:rFonts w:eastAsia="Times New Roman"/>
          <w:color w:val="000000" w:themeColor="text1"/>
        </w:rPr>
        <w:t xml:space="preserve">BIPOC community members </w:t>
      </w:r>
      <w:r>
        <w:rPr>
          <w:rFonts w:eastAsia="Times New Roman"/>
          <w:color w:val="000000" w:themeColor="text1"/>
        </w:rPr>
        <w:t xml:space="preserve">do receive care, it is </w:t>
      </w:r>
      <w:r w:rsidR="00BD55AD" w:rsidRPr="001F2BF2">
        <w:rPr>
          <w:rFonts w:eastAsia="Times New Roman"/>
          <w:color w:val="000000" w:themeColor="text1"/>
        </w:rPr>
        <w:t xml:space="preserve">likely to </w:t>
      </w:r>
      <w:r>
        <w:rPr>
          <w:rFonts w:eastAsia="Times New Roman"/>
          <w:color w:val="000000" w:themeColor="text1"/>
        </w:rPr>
        <w:t xml:space="preserve">be of </w:t>
      </w:r>
      <w:r w:rsidR="00BD55AD" w:rsidRPr="001F2BF2">
        <w:rPr>
          <w:rFonts w:eastAsia="Times New Roman"/>
          <w:color w:val="000000" w:themeColor="text1"/>
        </w:rPr>
        <w:t>poor</w:t>
      </w:r>
      <w:r>
        <w:rPr>
          <w:rFonts w:eastAsia="Times New Roman"/>
          <w:color w:val="000000" w:themeColor="text1"/>
        </w:rPr>
        <w:t xml:space="preserve">er </w:t>
      </w:r>
      <w:r w:rsidR="00BD55AD" w:rsidRPr="001F2BF2">
        <w:rPr>
          <w:rFonts w:eastAsia="Times New Roman"/>
          <w:color w:val="000000" w:themeColor="text1"/>
        </w:rPr>
        <w:t xml:space="preserve">quality </w:t>
      </w:r>
      <w:r>
        <w:rPr>
          <w:rFonts w:eastAsia="Times New Roman"/>
          <w:color w:val="000000" w:themeColor="text1"/>
        </w:rPr>
        <w:t>than that provided to whites</w:t>
      </w:r>
      <w:r w:rsidR="00BD55AD" w:rsidRPr="001F2BF2">
        <w:rPr>
          <w:rFonts w:eastAsia="Times New Roman"/>
          <w:color w:val="000000" w:themeColor="text1"/>
        </w:rPr>
        <w:t>.</w:t>
      </w:r>
      <w:r w:rsidR="00BD55AD" w:rsidRPr="00906755">
        <w:rPr>
          <w:rStyle w:val="FootnoteReference"/>
          <w:rFonts w:eastAsia="Times New Roman"/>
          <w:color w:val="000000" w:themeColor="text1"/>
        </w:rPr>
        <w:footnoteReference w:id="16"/>
      </w:r>
      <w:r w:rsidR="00BD55AD" w:rsidRPr="001F2BF2">
        <w:rPr>
          <w:rFonts w:eastAsia="Times New Roman"/>
          <w:color w:val="000000" w:themeColor="text1"/>
        </w:rPr>
        <w:t xml:space="preserve"> </w:t>
      </w:r>
      <w:r w:rsidR="00C03FD3">
        <w:rPr>
          <w:rFonts w:eastAsia="Times New Roman"/>
          <w:color w:val="000000" w:themeColor="text1"/>
        </w:rPr>
        <w:t>Research shows that, in clinical practice settings, minorities are less likely than whites to receive treatment that adheres to treatment guidelines.</w:t>
      </w:r>
      <w:r w:rsidR="00C03FD3">
        <w:rPr>
          <w:rStyle w:val="FootnoteReference"/>
          <w:rFonts w:eastAsia="Times New Roman"/>
          <w:color w:val="000000" w:themeColor="text1"/>
        </w:rPr>
        <w:footnoteReference w:id="17"/>
      </w:r>
      <w:r w:rsidR="0019291B">
        <w:rPr>
          <w:rFonts w:eastAsia="Times New Roman"/>
          <w:color w:val="000000" w:themeColor="text1"/>
        </w:rPr>
        <w:t>Additionally, f</w:t>
      </w:r>
      <w:r w:rsidR="00BD55AD" w:rsidRPr="001F2BF2">
        <w:rPr>
          <w:rFonts w:eastAsia="Times New Roman"/>
          <w:color w:val="000000" w:themeColor="text1"/>
        </w:rPr>
        <w:t>or African Americans, mental health services most often occur in emergency rooms and psychiatric hospitals because of the barriers to community mental health services.</w:t>
      </w:r>
      <w:r w:rsidR="00BD55AD" w:rsidRPr="00906755">
        <w:rPr>
          <w:rStyle w:val="FootnoteReference"/>
          <w:rFonts w:eastAsia="Times New Roman"/>
          <w:color w:val="000000" w:themeColor="text1"/>
        </w:rPr>
        <w:footnoteReference w:id="18"/>
      </w:r>
    </w:p>
    <w:p w14:paraId="2723C763" w14:textId="77777777" w:rsidR="00A11EEA" w:rsidRDefault="00A11EEA" w:rsidP="00E9259E">
      <w:pPr>
        <w:spacing w:after="0" w:line="240" w:lineRule="auto"/>
        <w:ind w:firstLine="720"/>
        <w:rPr>
          <w:rFonts w:eastAsia="Times New Roman"/>
          <w:color w:val="000000" w:themeColor="text1"/>
        </w:rPr>
      </w:pPr>
    </w:p>
    <w:p w14:paraId="55E7695B" w14:textId="35D6CF5E" w:rsidR="00BD55AD" w:rsidRDefault="00BD55AD" w:rsidP="00E9259E">
      <w:pPr>
        <w:spacing w:after="0" w:line="240" w:lineRule="auto"/>
        <w:ind w:firstLine="720"/>
        <w:rPr>
          <w:rFonts w:eastAsia="Times New Roman"/>
          <w:color w:val="000000" w:themeColor="text1"/>
        </w:rPr>
      </w:pPr>
      <w:r>
        <w:rPr>
          <w:rFonts w:eastAsia="Times New Roman"/>
          <w:color w:val="000000" w:themeColor="text1"/>
        </w:rPr>
        <w:t>D</w:t>
      </w:r>
      <w:r w:rsidRPr="6B3A19C0">
        <w:rPr>
          <w:rFonts w:eastAsia="Times New Roman"/>
          <w:color w:val="000000" w:themeColor="text1"/>
        </w:rPr>
        <w:t xml:space="preserve">isparities in accessing voluntary, </w:t>
      </w:r>
      <w:r w:rsidR="00A00813">
        <w:rPr>
          <w:rFonts w:eastAsia="Times New Roman"/>
          <w:color w:val="000000" w:themeColor="text1"/>
        </w:rPr>
        <w:t xml:space="preserve">quality, </w:t>
      </w:r>
      <w:r w:rsidRPr="6B3A19C0">
        <w:rPr>
          <w:rFonts w:eastAsia="Times New Roman"/>
          <w:color w:val="000000" w:themeColor="text1"/>
        </w:rPr>
        <w:t>community-based care raise concerns that BIPOC community members would be more likely to be placed under involuntary outpatient commitment than other groups</w:t>
      </w:r>
      <w:r w:rsidR="007B6F5B">
        <w:rPr>
          <w:rFonts w:eastAsia="Times New Roman"/>
          <w:color w:val="000000" w:themeColor="text1"/>
        </w:rPr>
        <w:t>. The research demonstrates that this is precisely what happens.</w:t>
      </w:r>
      <w:r w:rsidRPr="6B3A19C0">
        <w:rPr>
          <w:rFonts w:eastAsia="Times New Roman"/>
          <w:color w:val="000000" w:themeColor="text1"/>
        </w:rPr>
        <w:t xml:space="preserve"> A New York study found that</w:t>
      </w:r>
      <w:r w:rsidR="00BA73D6">
        <w:rPr>
          <w:rFonts w:eastAsia="Times New Roman"/>
          <w:color w:val="000000" w:themeColor="text1"/>
        </w:rPr>
        <w:t>, statewide,</w:t>
      </w:r>
      <w:r w:rsidRPr="6B3A19C0">
        <w:rPr>
          <w:rFonts w:eastAsia="Times New Roman"/>
          <w:color w:val="000000" w:themeColor="text1"/>
        </w:rPr>
        <w:t xml:space="preserve"> outpatient commitment </w:t>
      </w:r>
      <w:r w:rsidR="006D6BD4">
        <w:rPr>
          <w:rFonts w:eastAsia="Times New Roman"/>
          <w:color w:val="000000" w:themeColor="text1"/>
        </w:rPr>
        <w:t xml:space="preserve">is imposed on </w:t>
      </w:r>
      <w:r w:rsidRPr="6B3A19C0">
        <w:rPr>
          <w:rFonts w:eastAsia="Times New Roman"/>
          <w:color w:val="000000" w:themeColor="text1"/>
        </w:rPr>
        <w:t>African Americans five times more frequently</w:t>
      </w:r>
      <w:r w:rsidR="006D6BD4">
        <w:rPr>
          <w:rFonts w:eastAsia="Times New Roman"/>
          <w:color w:val="000000" w:themeColor="text1"/>
        </w:rPr>
        <w:t xml:space="preserve"> than white people</w:t>
      </w:r>
      <w:r w:rsidRPr="6B3A19C0">
        <w:rPr>
          <w:rFonts w:eastAsia="Times New Roman"/>
          <w:color w:val="000000" w:themeColor="text1"/>
        </w:rPr>
        <w:t>.</w:t>
      </w:r>
      <w:r w:rsidRPr="6B3A19C0">
        <w:rPr>
          <w:rStyle w:val="FootnoteReference"/>
          <w:rFonts w:eastAsia="Times New Roman"/>
          <w:color w:val="000000" w:themeColor="text1"/>
        </w:rPr>
        <w:footnoteReference w:id="19"/>
      </w:r>
      <w:r w:rsidRPr="6B3A19C0">
        <w:rPr>
          <w:rFonts w:eastAsia="Times New Roman"/>
          <w:color w:val="000000" w:themeColor="text1"/>
        </w:rPr>
        <w:t xml:space="preserve"> Black and Hispanic people make up 17.6% and 19.3% of New York’s population, but comprise 38% and 27% of those under outpatient commitment, respectively.</w:t>
      </w:r>
      <w:r w:rsidRPr="6B3A19C0">
        <w:rPr>
          <w:rStyle w:val="FootnoteReference"/>
          <w:rFonts w:eastAsia="Times New Roman"/>
          <w:color w:val="000000" w:themeColor="text1"/>
        </w:rPr>
        <w:footnoteReference w:id="20"/>
      </w:r>
      <w:r w:rsidRPr="6B3A19C0">
        <w:rPr>
          <w:rFonts w:eastAsia="Times New Roman"/>
          <w:color w:val="000000" w:themeColor="text1"/>
        </w:rPr>
        <w:t xml:space="preserve"> </w:t>
      </w:r>
      <w:r w:rsidR="006D6BD4">
        <w:rPr>
          <w:rFonts w:eastAsia="Times New Roman"/>
          <w:color w:val="000000" w:themeColor="text1"/>
        </w:rPr>
        <w:t>I</w:t>
      </w:r>
      <w:r w:rsidRPr="6B3A19C0">
        <w:rPr>
          <w:rFonts w:eastAsia="Times New Roman"/>
          <w:color w:val="000000" w:themeColor="text1"/>
        </w:rPr>
        <w:t xml:space="preserve">nvoluntary outpatient commitment reinforces </w:t>
      </w:r>
      <w:r w:rsidR="007B6F5B">
        <w:rPr>
          <w:rFonts w:eastAsia="Times New Roman"/>
          <w:color w:val="000000" w:themeColor="text1"/>
        </w:rPr>
        <w:t xml:space="preserve">and aggravates </w:t>
      </w:r>
      <w:r w:rsidR="00267017">
        <w:rPr>
          <w:rFonts w:eastAsia="Times New Roman"/>
          <w:color w:val="000000" w:themeColor="text1"/>
        </w:rPr>
        <w:t xml:space="preserve">already existing </w:t>
      </w:r>
      <w:r w:rsidR="006D6BD4">
        <w:rPr>
          <w:rFonts w:eastAsia="Times New Roman"/>
          <w:color w:val="000000" w:themeColor="text1"/>
        </w:rPr>
        <w:t xml:space="preserve">disparities; effectively </w:t>
      </w:r>
      <w:r w:rsidRPr="6B3A19C0">
        <w:rPr>
          <w:rFonts w:eastAsia="Times New Roman"/>
          <w:color w:val="000000" w:themeColor="text1"/>
        </w:rPr>
        <w:t>establishing a separate mental health system in communities of color</w:t>
      </w:r>
      <w:r w:rsidR="006D6BD4">
        <w:rPr>
          <w:rFonts w:eastAsia="Times New Roman"/>
          <w:color w:val="000000" w:themeColor="text1"/>
        </w:rPr>
        <w:t xml:space="preserve"> that costs people </w:t>
      </w:r>
      <w:r w:rsidRPr="6B3A19C0">
        <w:rPr>
          <w:rFonts w:eastAsia="Times New Roman"/>
          <w:color w:val="000000" w:themeColor="text1"/>
        </w:rPr>
        <w:t xml:space="preserve">their agency and </w:t>
      </w:r>
      <w:r w:rsidR="006D6BD4">
        <w:rPr>
          <w:rFonts w:eastAsia="Times New Roman"/>
          <w:color w:val="000000" w:themeColor="text1"/>
        </w:rPr>
        <w:t xml:space="preserve">causes them to </w:t>
      </w:r>
      <w:r w:rsidRPr="6B3A19C0">
        <w:rPr>
          <w:rFonts w:eastAsia="Times New Roman"/>
          <w:color w:val="000000" w:themeColor="text1"/>
        </w:rPr>
        <w:t>experience the stigma of coerc</w:t>
      </w:r>
      <w:r w:rsidR="00267017">
        <w:rPr>
          <w:rFonts w:eastAsia="Times New Roman"/>
          <w:color w:val="000000" w:themeColor="text1"/>
        </w:rPr>
        <w:t>ed</w:t>
      </w:r>
      <w:r w:rsidRPr="6B3A19C0">
        <w:rPr>
          <w:rFonts w:eastAsia="Times New Roman"/>
          <w:color w:val="000000" w:themeColor="text1"/>
        </w:rPr>
        <w:t xml:space="preserve"> treatment. </w:t>
      </w:r>
    </w:p>
    <w:p w14:paraId="3145C46A" w14:textId="77777777" w:rsidR="007B6F5B" w:rsidRDefault="007B6F5B" w:rsidP="007B6F5B">
      <w:pPr>
        <w:spacing w:after="0" w:line="240" w:lineRule="auto"/>
        <w:ind w:firstLine="720"/>
        <w:rPr>
          <w:rFonts w:eastAsia="Times New Roman"/>
          <w:color w:val="000000" w:themeColor="text1"/>
        </w:rPr>
      </w:pPr>
    </w:p>
    <w:p w14:paraId="29C1BB13" w14:textId="70404BCC" w:rsidR="00BD55AD" w:rsidRDefault="00BD55AD" w:rsidP="007017A4">
      <w:pPr>
        <w:spacing w:after="0" w:line="240" w:lineRule="auto"/>
        <w:ind w:firstLine="720"/>
        <w:rPr>
          <w:rFonts w:eastAsia="Times New Roman"/>
          <w:color w:val="000000" w:themeColor="text1"/>
        </w:rPr>
      </w:pPr>
      <w:r w:rsidRPr="6B3A19C0">
        <w:rPr>
          <w:rFonts w:eastAsia="Times New Roman"/>
          <w:color w:val="000000" w:themeColor="text1"/>
        </w:rPr>
        <w:t xml:space="preserve">Moreover, multiple studies have confirmed </w:t>
      </w:r>
      <w:r w:rsidR="002F6C06">
        <w:rPr>
          <w:rFonts w:eastAsia="Times New Roman"/>
          <w:color w:val="000000" w:themeColor="text1"/>
        </w:rPr>
        <w:t xml:space="preserve">that </w:t>
      </w:r>
      <w:r w:rsidRPr="6B3A19C0">
        <w:rPr>
          <w:rFonts w:eastAsia="Times New Roman"/>
          <w:color w:val="000000" w:themeColor="text1"/>
        </w:rPr>
        <w:t xml:space="preserve">racial and cultural bias </w:t>
      </w:r>
      <w:r w:rsidR="00F93F9C">
        <w:rPr>
          <w:rFonts w:eastAsia="Times New Roman"/>
          <w:color w:val="000000" w:themeColor="text1"/>
        </w:rPr>
        <w:t xml:space="preserve">contributes to misdiagnosis of </w:t>
      </w:r>
      <w:r w:rsidR="00FF7501">
        <w:rPr>
          <w:rFonts w:eastAsia="Times New Roman"/>
          <w:color w:val="000000" w:themeColor="text1"/>
        </w:rPr>
        <w:t xml:space="preserve">mental health conditions </w:t>
      </w:r>
      <w:r w:rsidR="006510B6">
        <w:rPr>
          <w:rFonts w:eastAsia="Times New Roman"/>
          <w:color w:val="000000" w:themeColor="text1"/>
        </w:rPr>
        <w:t xml:space="preserve">for </w:t>
      </w:r>
      <w:r w:rsidR="00F93F9C">
        <w:rPr>
          <w:rFonts w:eastAsia="Times New Roman"/>
          <w:color w:val="000000" w:themeColor="text1"/>
        </w:rPr>
        <w:t xml:space="preserve">certain populations, particularly </w:t>
      </w:r>
      <w:r w:rsidR="00393F2A">
        <w:rPr>
          <w:rFonts w:eastAsia="Times New Roman"/>
          <w:color w:val="000000" w:themeColor="text1"/>
        </w:rPr>
        <w:t>African Americans.</w:t>
      </w:r>
      <w:r w:rsidR="006510B6">
        <w:rPr>
          <w:rStyle w:val="FootnoteReference"/>
          <w:rFonts w:eastAsia="Times New Roman"/>
          <w:color w:val="000000" w:themeColor="text1"/>
        </w:rPr>
        <w:footnoteReference w:id="21"/>
      </w:r>
      <w:r w:rsidR="00393F2A">
        <w:rPr>
          <w:rFonts w:eastAsia="Times New Roman"/>
          <w:color w:val="000000" w:themeColor="text1"/>
        </w:rPr>
        <w:t xml:space="preserve"> </w:t>
      </w:r>
      <w:r w:rsidR="002E69CC">
        <w:rPr>
          <w:rFonts w:eastAsia="Times New Roman"/>
          <w:color w:val="000000" w:themeColor="text1"/>
        </w:rPr>
        <w:t>In particular</w:t>
      </w:r>
      <w:r w:rsidR="007017A4">
        <w:rPr>
          <w:rFonts w:eastAsia="Times New Roman"/>
          <w:color w:val="000000" w:themeColor="text1"/>
        </w:rPr>
        <w:t>, r</w:t>
      </w:r>
      <w:r w:rsidRPr="6B3A19C0">
        <w:rPr>
          <w:rFonts w:eastAsia="Times New Roman"/>
          <w:color w:val="000000" w:themeColor="text1"/>
        </w:rPr>
        <w:t>esearch has established the presence of significant racial disparities in the diagnosis of schizophrenia.</w:t>
      </w:r>
      <w:r w:rsidRPr="6B3A19C0">
        <w:rPr>
          <w:rStyle w:val="FootnoteReference"/>
          <w:rFonts w:eastAsia="Times New Roman"/>
          <w:color w:val="000000" w:themeColor="text1"/>
        </w:rPr>
        <w:footnoteReference w:id="22"/>
      </w:r>
      <w:r w:rsidRPr="6B3A19C0">
        <w:rPr>
          <w:rFonts w:eastAsia="Times New Roman"/>
          <w:color w:val="000000" w:themeColor="text1"/>
        </w:rPr>
        <w:t xml:space="preserve"> Considering that the vast majority of those under outpatient commitment are likely to have a schizophrenia diagnosis</w:t>
      </w:r>
      <w:r>
        <w:rPr>
          <w:rFonts w:eastAsia="Times New Roman"/>
          <w:color w:val="000000" w:themeColor="text1"/>
        </w:rPr>
        <w:t xml:space="preserve"> </w:t>
      </w:r>
      <w:r w:rsidRPr="6B3A19C0">
        <w:rPr>
          <w:rFonts w:eastAsia="Times New Roman"/>
          <w:color w:val="000000" w:themeColor="text1"/>
        </w:rPr>
        <w:t>– e.g.</w:t>
      </w:r>
      <w:r>
        <w:rPr>
          <w:rFonts w:eastAsia="Times New Roman"/>
          <w:color w:val="000000" w:themeColor="text1"/>
        </w:rPr>
        <w:t>,</w:t>
      </w:r>
      <w:r w:rsidRPr="6B3A19C0">
        <w:rPr>
          <w:rFonts w:eastAsia="Times New Roman"/>
          <w:color w:val="000000" w:themeColor="text1"/>
        </w:rPr>
        <w:t xml:space="preserve"> 72% of participants in New York</w:t>
      </w:r>
      <w:r w:rsidRPr="6B3A19C0">
        <w:rPr>
          <w:rStyle w:val="FootnoteReference"/>
          <w:rFonts w:eastAsia="Times New Roman"/>
          <w:color w:val="000000" w:themeColor="text1"/>
        </w:rPr>
        <w:footnoteReference w:id="23"/>
      </w:r>
      <w:r>
        <w:rPr>
          <w:rFonts w:eastAsia="Times New Roman"/>
          <w:color w:val="000000" w:themeColor="text1"/>
        </w:rPr>
        <w:t xml:space="preserve"> </w:t>
      </w:r>
      <w:r w:rsidRPr="6B3A19C0">
        <w:rPr>
          <w:rFonts w:eastAsia="Times New Roman"/>
          <w:color w:val="000000" w:themeColor="text1"/>
        </w:rPr>
        <w:t>– diagnostic bias foreshadows the potential for an alarming overrepresentation of BIPOC individuals in any Massachusetts program.</w:t>
      </w:r>
    </w:p>
    <w:p w14:paraId="1B72BA0D" w14:textId="77777777" w:rsidR="007B6F5B" w:rsidRDefault="007B6F5B" w:rsidP="007B6F5B">
      <w:pPr>
        <w:spacing w:after="0" w:line="240" w:lineRule="auto"/>
        <w:ind w:firstLine="720"/>
        <w:rPr>
          <w:rFonts w:eastAsia="Times New Roman"/>
          <w:color w:val="000000" w:themeColor="text1"/>
        </w:rPr>
      </w:pPr>
    </w:p>
    <w:p w14:paraId="08329AC7" w14:textId="62474E59" w:rsidR="00BD55AD" w:rsidRPr="00C32C50" w:rsidRDefault="00BD55AD" w:rsidP="00E9259E">
      <w:pPr>
        <w:spacing w:after="0" w:line="240" w:lineRule="auto"/>
        <w:ind w:firstLine="720"/>
        <w:rPr>
          <w:rFonts w:eastAsia="Times New Roman"/>
          <w:color w:val="000000" w:themeColor="text1"/>
        </w:rPr>
      </w:pPr>
      <w:r w:rsidRPr="00C32C50">
        <w:rPr>
          <w:rFonts w:eastAsia="Times New Roman"/>
          <w:color w:val="000000" w:themeColor="text1"/>
        </w:rPr>
        <w:lastRenderedPageBreak/>
        <w:t xml:space="preserve">Additionally, involuntary outpatient commitment is particularly problematic for BIPOC communities because members of those communities are already overrepresented </w:t>
      </w:r>
      <w:r w:rsidR="00863D6E">
        <w:rPr>
          <w:rFonts w:eastAsia="Times New Roman"/>
          <w:color w:val="000000" w:themeColor="text1"/>
        </w:rPr>
        <w:t>in</w:t>
      </w:r>
      <w:r w:rsidRPr="00C32C50">
        <w:rPr>
          <w:rFonts w:eastAsia="Times New Roman"/>
          <w:color w:val="000000" w:themeColor="text1"/>
        </w:rPr>
        <w:t xml:space="preserve"> restrictive settings such as mandated psychiatric services, jails, and prisons</w:t>
      </w:r>
      <w:r w:rsidR="00BC7847">
        <w:rPr>
          <w:rFonts w:eastAsia="Times New Roman"/>
          <w:color w:val="000000" w:themeColor="text1"/>
        </w:rPr>
        <w:t xml:space="preserve">. </w:t>
      </w:r>
      <w:r w:rsidRPr="00C32C50">
        <w:rPr>
          <w:rFonts w:eastAsia="Times New Roman"/>
          <w:color w:val="000000" w:themeColor="text1"/>
        </w:rPr>
        <w:t>BIPOC community members are more often treated as inpatients and are four times more likely to be legally mandated to treatment than their white counterparts.</w:t>
      </w:r>
      <w:r w:rsidRPr="00C32C50">
        <w:rPr>
          <w:rStyle w:val="FootnoteReference"/>
          <w:rFonts w:eastAsia="Times New Roman"/>
          <w:color w:val="000000" w:themeColor="text1"/>
        </w:rPr>
        <w:footnoteReference w:id="24"/>
      </w:r>
      <w:r w:rsidRPr="00C32C50">
        <w:rPr>
          <w:rFonts w:eastAsia="Times New Roman"/>
          <w:color w:val="000000" w:themeColor="text1"/>
        </w:rPr>
        <w:t xml:space="preserve"> There is also a greater likelihood that the police are involved in the hospital admissions of BIPOC community members for psychiatric care than for other community members.</w:t>
      </w:r>
      <w:r w:rsidRPr="00C32C50">
        <w:rPr>
          <w:rStyle w:val="FootnoteReference"/>
          <w:rFonts w:eastAsia="Times New Roman"/>
          <w:color w:val="000000" w:themeColor="text1"/>
        </w:rPr>
        <w:footnoteReference w:id="25"/>
      </w:r>
      <w:r>
        <w:rPr>
          <w:rFonts w:eastAsia="Times New Roman"/>
          <w:color w:val="000000" w:themeColor="text1"/>
        </w:rPr>
        <w:t xml:space="preserve"> </w:t>
      </w:r>
      <w:r w:rsidRPr="00C32C50">
        <w:rPr>
          <w:rFonts w:eastAsia="Times New Roman"/>
          <w:color w:val="000000" w:themeColor="text1"/>
        </w:rPr>
        <w:t xml:space="preserve">Imposing involuntary outpatient commitment on BIPOC communities contributes to the narrative that these populations need </w:t>
      </w:r>
      <w:r w:rsidR="00290DDE">
        <w:rPr>
          <w:rFonts w:eastAsia="Times New Roman"/>
          <w:color w:val="000000" w:themeColor="text1"/>
        </w:rPr>
        <w:t xml:space="preserve">more </w:t>
      </w:r>
      <w:r w:rsidR="00E733D6">
        <w:rPr>
          <w:rFonts w:eastAsia="Times New Roman"/>
          <w:color w:val="000000" w:themeColor="text1"/>
        </w:rPr>
        <w:t>gover</w:t>
      </w:r>
      <w:r w:rsidR="00585A4F">
        <w:rPr>
          <w:rFonts w:eastAsia="Times New Roman"/>
          <w:color w:val="000000" w:themeColor="text1"/>
        </w:rPr>
        <w:t xml:space="preserve">nmental </w:t>
      </w:r>
      <w:r w:rsidR="00E733D6">
        <w:rPr>
          <w:rFonts w:eastAsia="Times New Roman"/>
          <w:color w:val="000000" w:themeColor="text1"/>
        </w:rPr>
        <w:t>policing</w:t>
      </w:r>
      <w:r w:rsidR="00290DDE">
        <w:rPr>
          <w:rFonts w:eastAsia="Times New Roman"/>
          <w:color w:val="000000" w:themeColor="text1"/>
        </w:rPr>
        <w:t xml:space="preserve"> – here, </w:t>
      </w:r>
      <w:r w:rsidR="00585A4F">
        <w:rPr>
          <w:rFonts w:eastAsia="Times New Roman"/>
          <w:color w:val="000000" w:themeColor="text1"/>
        </w:rPr>
        <w:t>in the mental health realm</w:t>
      </w:r>
      <w:r w:rsidR="00290DDE">
        <w:rPr>
          <w:rFonts w:eastAsia="Times New Roman"/>
          <w:color w:val="000000" w:themeColor="text1"/>
        </w:rPr>
        <w:t xml:space="preserve"> – </w:t>
      </w:r>
      <w:r w:rsidR="00522C27">
        <w:rPr>
          <w:rFonts w:eastAsia="Times New Roman"/>
          <w:color w:val="000000" w:themeColor="text1"/>
        </w:rPr>
        <w:t xml:space="preserve">while </w:t>
      </w:r>
      <w:r w:rsidRPr="00C32C50">
        <w:rPr>
          <w:rFonts w:eastAsia="Times New Roman"/>
          <w:color w:val="000000" w:themeColor="text1"/>
        </w:rPr>
        <w:t xml:space="preserve">shifting needed resources </w:t>
      </w:r>
      <w:r w:rsidR="00081FE9">
        <w:rPr>
          <w:rFonts w:eastAsia="Times New Roman"/>
          <w:color w:val="000000" w:themeColor="text1"/>
        </w:rPr>
        <w:t xml:space="preserve">from addressing the </w:t>
      </w:r>
      <w:r w:rsidR="00290DDE">
        <w:rPr>
          <w:rFonts w:eastAsia="Times New Roman"/>
          <w:color w:val="000000" w:themeColor="text1"/>
        </w:rPr>
        <w:t>root problem</w:t>
      </w:r>
      <w:r w:rsidR="0068026D">
        <w:rPr>
          <w:rFonts w:eastAsia="Times New Roman"/>
          <w:color w:val="000000" w:themeColor="text1"/>
        </w:rPr>
        <w:t>, which is</w:t>
      </w:r>
      <w:r w:rsidR="00290DDE">
        <w:rPr>
          <w:rFonts w:eastAsia="Times New Roman"/>
          <w:color w:val="000000" w:themeColor="text1"/>
        </w:rPr>
        <w:t xml:space="preserve"> </w:t>
      </w:r>
      <w:r w:rsidR="002E6BF3">
        <w:rPr>
          <w:rFonts w:eastAsia="Times New Roman"/>
          <w:color w:val="000000" w:themeColor="text1"/>
        </w:rPr>
        <w:t>discrimination i</w:t>
      </w:r>
      <w:r w:rsidR="005276D8">
        <w:rPr>
          <w:rFonts w:eastAsia="Times New Roman"/>
          <w:color w:val="000000" w:themeColor="text1"/>
        </w:rPr>
        <w:t>n</w:t>
      </w:r>
      <w:r w:rsidR="0068026D">
        <w:rPr>
          <w:rFonts w:eastAsia="Times New Roman"/>
          <w:color w:val="000000" w:themeColor="text1"/>
        </w:rPr>
        <w:t xml:space="preserve"> </w:t>
      </w:r>
      <w:r w:rsidR="002E6BF3">
        <w:rPr>
          <w:rFonts w:eastAsia="Times New Roman"/>
          <w:color w:val="000000" w:themeColor="text1"/>
        </w:rPr>
        <w:t xml:space="preserve">the provision of </w:t>
      </w:r>
      <w:r w:rsidRPr="00C32C50">
        <w:rPr>
          <w:rFonts w:eastAsia="Times New Roman"/>
          <w:color w:val="000000" w:themeColor="text1"/>
        </w:rPr>
        <w:t xml:space="preserve">access to inclusive community mental health care </w:t>
      </w:r>
      <w:r w:rsidR="002E6BF3">
        <w:rPr>
          <w:rFonts w:eastAsia="Times New Roman"/>
          <w:color w:val="000000" w:themeColor="text1"/>
        </w:rPr>
        <w:t>resources</w:t>
      </w:r>
      <w:r w:rsidRPr="00C32C50">
        <w:rPr>
          <w:rFonts w:eastAsia="Times New Roman"/>
          <w:color w:val="000000" w:themeColor="text1"/>
        </w:rPr>
        <w:t>.</w:t>
      </w:r>
    </w:p>
    <w:p w14:paraId="7A39089D" w14:textId="4BF65B2F" w:rsidR="00BD55AD" w:rsidRPr="00BD55AD" w:rsidRDefault="00BD55AD" w:rsidP="00BD55AD">
      <w:pPr>
        <w:pStyle w:val="Default"/>
      </w:pPr>
    </w:p>
    <w:p w14:paraId="4C722AD9" w14:textId="6ADEEC54" w:rsidR="00C51E90" w:rsidRPr="001F7C0E" w:rsidRDefault="00C51E90" w:rsidP="00D93FC6">
      <w:pPr>
        <w:pStyle w:val="CM16"/>
        <w:spacing w:after="204" w:line="276" w:lineRule="atLeast"/>
        <w:ind w:right="-17" w:hanging="720"/>
        <w:rPr>
          <w:color w:val="000000"/>
        </w:rPr>
      </w:pPr>
      <w:r w:rsidRPr="001F7C0E">
        <w:rPr>
          <w:b/>
          <w:bCs/>
          <w:color w:val="000000"/>
        </w:rPr>
        <w:t xml:space="preserve">III. </w:t>
      </w:r>
      <w:r w:rsidRPr="001F7C0E">
        <w:rPr>
          <w:b/>
          <w:bCs/>
          <w:color w:val="000000"/>
        </w:rPr>
        <w:tab/>
      </w:r>
      <w:r w:rsidR="0036385C" w:rsidRPr="001F7C0E">
        <w:rPr>
          <w:b/>
          <w:bCs/>
          <w:color w:val="000000"/>
        </w:rPr>
        <w:t xml:space="preserve">IMPLEMENTING </w:t>
      </w:r>
      <w:r w:rsidR="000B481C">
        <w:rPr>
          <w:b/>
          <w:bCs/>
          <w:color w:val="000000"/>
        </w:rPr>
        <w:t xml:space="preserve">AN </w:t>
      </w:r>
      <w:r w:rsidR="00CE6B40" w:rsidRPr="001F7C0E">
        <w:rPr>
          <w:b/>
          <w:bCs/>
          <w:color w:val="000000"/>
        </w:rPr>
        <w:t>INVOLUNTARY OUTPATIENT COMMITMENT</w:t>
      </w:r>
      <w:r w:rsidR="00E075BB" w:rsidRPr="001F7C0E">
        <w:rPr>
          <w:b/>
          <w:bCs/>
          <w:color w:val="000000"/>
        </w:rPr>
        <w:t xml:space="preserve"> </w:t>
      </w:r>
      <w:r w:rsidR="00CE0FA6">
        <w:rPr>
          <w:b/>
          <w:bCs/>
          <w:color w:val="000000"/>
        </w:rPr>
        <w:t xml:space="preserve">INFRASTRUCTURE </w:t>
      </w:r>
      <w:r w:rsidR="003A5954" w:rsidRPr="001F7C0E">
        <w:rPr>
          <w:b/>
          <w:bCs/>
          <w:color w:val="000000"/>
        </w:rPr>
        <w:t xml:space="preserve">WOULD </w:t>
      </w:r>
      <w:r w:rsidR="00E075BB" w:rsidRPr="001F7C0E">
        <w:rPr>
          <w:b/>
          <w:bCs/>
          <w:color w:val="000000"/>
        </w:rPr>
        <w:t>REQUIRE AN IMMENSE INFUSION OF RESOURCES</w:t>
      </w:r>
      <w:r w:rsidR="00574539">
        <w:rPr>
          <w:b/>
          <w:bCs/>
          <w:color w:val="000000"/>
        </w:rPr>
        <w:t>.</w:t>
      </w:r>
      <w:r w:rsidRPr="001F7C0E">
        <w:rPr>
          <w:b/>
          <w:bCs/>
          <w:color w:val="000000"/>
        </w:rPr>
        <w:t xml:space="preserve"> </w:t>
      </w:r>
    </w:p>
    <w:p w14:paraId="6259212A" w14:textId="6BA0CA3B" w:rsidR="00B41E6E" w:rsidRPr="00A93FE0" w:rsidRDefault="00A93FE0" w:rsidP="00A93FE0">
      <w:pPr>
        <w:pStyle w:val="Default"/>
        <w:rPr>
          <w:color w:val="000000" w:themeColor="text1"/>
        </w:rPr>
      </w:pPr>
      <w:r>
        <w:tab/>
      </w:r>
      <w:r w:rsidR="00B41E6E">
        <w:t xml:space="preserve">While states with involuntary outpatient commitment differ widely in their standards for its use, </w:t>
      </w:r>
      <w:proofErr w:type="gramStart"/>
      <w:r w:rsidR="00B41E6E">
        <w:t>it is clear that implementation</w:t>
      </w:r>
      <w:proofErr w:type="gramEnd"/>
      <w:r w:rsidR="005B3864">
        <w:t xml:space="preserve"> of any such commitment process</w:t>
      </w:r>
      <w:r w:rsidR="00A646E2">
        <w:t xml:space="preserve"> </w:t>
      </w:r>
      <w:r w:rsidR="00D268E7">
        <w:t xml:space="preserve">will </w:t>
      </w:r>
      <w:r w:rsidR="00150B31">
        <w:t>require a</w:t>
      </w:r>
      <w:r w:rsidR="00477AD7">
        <w:t xml:space="preserve"> substantial</w:t>
      </w:r>
      <w:r w:rsidR="00150B31">
        <w:t xml:space="preserve"> infusion of resources</w:t>
      </w:r>
      <w:r w:rsidR="00477AD7">
        <w:t xml:space="preserve"> just to administer </w:t>
      </w:r>
      <w:r w:rsidR="00A66762">
        <w:t>and enforce involuntary commitment orders</w:t>
      </w:r>
      <w:r w:rsidR="00477AD7">
        <w:t xml:space="preserve">, </w:t>
      </w:r>
      <w:r w:rsidR="00A66762">
        <w:t xml:space="preserve">diverting funds from needed </w:t>
      </w:r>
      <w:r w:rsidR="00477AD7">
        <w:t>expansion</w:t>
      </w:r>
      <w:r w:rsidR="00A66762">
        <w:t>s</w:t>
      </w:r>
      <w:r w:rsidR="00477AD7">
        <w:t xml:space="preserve"> of mental health treatment services</w:t>
      </w:r>
      <w:r w:rsidR="00DE462E">
        <w:t>.</w:t>
      </w:r>
    </w:p>
    <w:p w14:paraId="5FBA5ECB" w14:textId="77777777" w:rsidR="005B3864" w:rsidRDefault="005B3864" w:rsidP="00B41E6E">
      <w:pPr>
        <w:pStyle w:val="Default"/>
      </w:pPr>
    </w:p>
    <w:p w14:paraId="5CB34737" w14:textId="051D3DF7" w:rsidR="00C51E90" w:rsidRPr="001F7C0E" w:rsidRDefault="00CE0FA6" w:rsidP="00E9259E">
      <w:pPr>
        <w:pStyle w:val="Heading2"/>
        <w:ind w:left="647" w:hanging="647"/>
      </w:pPr>
      <w:r>
        <w:t>A</w:t>
      </w:r>
      <w:r w:rsidR="00C51E90" w:rsidRPr="001F7C0E">
        <w:t xml:space="preserve">. </w:t>
      </w:r>
      <w:r w:rsidR="00477AD7">
        <w:tab/>
      </w:r>
      <w:r w:rsidR="00774E34">
        <w:t xml:space="preserve">The Judicial Process for an </w:t>
      </w:r>
      <w:r w:rsidR="00CE6B40" w:rsidRPr="001F7C0E">
        <w:t xml:space="preserve">Involuntary </w:t>
      </w:r>
      <w:r w:rsidR="00C51E90" w:rsidRPr="001F7C0E">
        <w:t xml:space="preserve">Outpatient Commitment </w:t>
      </w:r>
      <w:r w:rsidR="00BB7D07" w:rsidRPr="001F7C0E">
        <w:t xml:space="preserve">Will Require </w:t>
      </w:r>
      <w:r w:rsidR="00255792" w:rsidRPr="001F7C0E">
        <w:t>a</w:t>
      </w:r>
      <w:r w:rsidR="00BB7D07" w:rsidRPr="001F7C0E">
        <w:t xml:space="preserve"> Substantial Expenditure </w:t>
      </w:r>
      <w:r w:rsidR="00255792" w:rsidRPr="001F7C0E">
        <w:t>o</w:t>
      </w:r>
      <w:r w:rsidR="00BB7D07" w:rsidRPr="001F7C0E">
        <w:t>f Resources</w:t>
      </w:r>
      <w:r w:rsidR="00574539">
        <w:t>.</w:t>
      </w:r>
    </w:p>
    <w:p w14:paraId="64BFDF98" w14:textId="3E5E9C38" w:rsidR="00C51E90" w:rsidRPr="001F7C0E" w:rsidRDefault="004A4A24" w:rsidP="00E9259E">
      <w:pPr>
        <w:pStyle w:val="CM15"/>
        <w:ind w:firstLine="647"/>
        <w:rPr>
          <w:color w:val="000000"/>
        </w:rPr>
      </w:pPr>
      <w:r w:rsidRPr="001F7C0E">
        <w:rPr>
          <w:color w:val="000000"/>
        </w:rPr>
        <w:t>To pass</w:t>
      </w:r>
      <w:r w:rsidR="0016713F" w:rsidRPr="001F7C0E">
        <w:rPr>
          <w:color w:val="000000"/>
        </w:rPr>
        <w:t xml:space="preserve"> federal and state </w:t>
      </w:r>
      <w:r w:rsidRPr="001F7C0E">
        <w:rPr>
          <w:color w:val="000000"/>
        </w:rPr>
        <w:t>constitutional muster, t</w:t>
      </w:r>
      <w:r w:rsidR="00C51E90" w:rsidRPr="001F7C0E">
        <w:rPr>
          <w:color w:val="000000"/>
        </w:rPr>
        <w:t xml:space="preserve">here are significant procedural requirements that </w:t>
      </w:r>
      <w:r w:rsidR="00E17608" w:rsidRPr="001F7C0E">
        <w:rPr>
          <w:color w:val="000000"/>
        </w:rPr>
        <w:t>would have to be</w:t>
      </w:r>
      <w:r w:rsidR="00C51E90" w:rsidRPr="001F7C0E">
        <w:rPr>
          <w:color w:val="000000"/>
        </w:rPr>
        <w:t xml:space="preserve"> included in any </w:t>
      </w:r>
      <w:r w:rsidR="00CE6B40" w:rsidRPr="001F7C0E">
        <w:rPr>
          <w:color w:val="000000"/>
        </w:rPr>
        <w:t xml:space="preserve">involuntary outpatient commitment </w:t>
      </w:r>
      <w:r w:rsidR="00C51E90" w:rsidRPr="001F7C0E">
        <w:rPr>
          <w:color w:val="000000"/>
        </w:rPr>
        <w:t xml:space="preserve">process. </w:t>
      </w:r>
      <w:r w:rsidR="00CF7698">
        <w:rPr>
          <w:color w:val="000000"/>
        </w:rPr>
        <w:t xml:space="preserve">A significant and costly </w:t>
      </w:r>
      <w:r w:rsidR="00CE0FA6">
        <w:rPr>
          <w:color w:val="000000"/>
        </w:rPr>
        <w:t xml:space="preserve">infrastructure </w:t>
      </w:r>
      <w:r w:rsidR="00CF7698">
        <w:rPr>
          <w:color w:val="000000"/>
        </w:rPr>
        <w:t>will be necessary to design, monitor</w:t>
      </w:r>
      <w:r w:rsidR="00597AB3">
        <w:rPr>
          <w:color w:val="000000"/>
        </w:rPr>
        <w:t>,</w:t>
      </w:r>
      <w:r w:rsidR="00CF7698">
        <w:rPr>
          <w:color w:val="000000"/>
        </w:rPr>
        <w:t xml:space="preserve"> and enforce an involuntary outpatient commitment system. </w:t>
      </w:r>
      <w:r w:rsidR="00C51E90" w:rsidRPr="001F7C0E">
        <w:rPr>
          <w:color w:val="000000"/>
        </w:rPr>
        <w:t xml:space="preserve">At a minimum, there must be a full judicial hearing, with adequate notice, the right to counsel, access to an independent expert, a written decision, and a right to appeal. Most jurisdictions require that mental health clinicians attend the hearing and present evidence that the individual meets the </w:t>
      </w:r>
      <w:r w:rsidR="00CE6B40" w:rsidRPr="001F7C0E">
        <w:rPr>
          <w:color w:val="000000"/>
        </w:rPr>
        <w:t>involuntary outpatient commitment s</w:t>
      </w:r>
      <w:r w:rsidR="00C51E90" w:rsidRPr="001F7C0E">
        <w:rPr>
          <w:color w:val="000000"/>
        </w:rPr>
        <w:t xml:space="preserve">tandard for commitment and that the mental health services set forth in the proposed treatment plan are necessary and available. At a minimum, this clinical opinion must be set forth in an affidavit and be subject to cross-examination at a hearing. </w:t>
      </w:r>
      <w:r w:rsidR="0040123F" w:rsidRPr="001F7C0E">
        <w:rPr>
          <w:color w:val="000000"/>
        </w:rPr>
        <w:t xml:space="preserve">Due process demands a </w:t>
      </w:r>
      <w:r w:rsidR="00C51E90" w:rsidRPr="001F7C0E">
        <w:rPr>
          <w:color w:val="000000"/>
        </w:rPr>
        <w:t xml:space="preserve">full range of procedural </w:t>
      </w:r>
      <w:r w:rsidR="00A66762">
        <w:rPr>
          <w:color w:val="000000"/>
        </w:rPr>
        <w:t>protections</w:t>
      </w:r>
      <w:r w:rsidR="00A66762" w:rsidRPr="001F7C0E">
        <w:rPr>
          <w:color w:val="000000"/>
        </w:rPr>
        <w:t xml:space="preserve"> </w:t>
      </w:r>
      <w:r w:rsidR="00C51E90" w:rsidRPr="001F7C0E">
        <w:rPr>
          <w:color w:val="000000"/>
        </w:rPr>
        <w:t xml:space="preserve">when </w:t>
      </w:r>
      <w:r w:rsidR="009B29B5" w:rsidRPr="001F7C0E">
        <w:rPr>
          <w:color w:val="000000"/>
        </w:rPr>
        <w:t xml:space="preserve">there is </w:t>
      </w:r>
      <w:r w:rsidR="0040123F" w:rsidRPr="001F7C0E">
        <w:rPr>
          <w:color w:val="000000"/>
        </w:rPr>
        <w:t>the possibility</w:t>
      </w:r>
      <w:r w:rsidR="009B29B5" w:rsidRPr="001F7C0E">
        <w:rPr>
          <w:color w:val="000000"/>
        </w:rPr>
        <w:t xml:space="preserve"> that </w:t>
      </w:r>
      <w:r w:rsidR="00C51E90" w:rsidRPr="001F7C0E">
        <w:rPr>
          <w:color w:val="000000"/>
        </w:rPr>
        <w:t xml:space="preserve">an individual's freedom </w:t>
      </w:r>
      <w:r w:rsidR="0040123F" w:rsidRPr="001F7C0E">
        <w:rPr>
          <w:color w:val="000000"/>
        </w:rPr>
        <w:t xml:space="preserve">will be </w:t>
      </w:r>
      <w:proofErr w:type="gramStart"/>
      <w:r w:rsidR="00C51E90" w:rsidRPr="001F7C0E">
        <w:rPr>
          <w:color w:val="000000"/>
        </w:rPr>
        <w:t>curtailed</w:t>
      </w:r>
      <w:proofErr w:type="gramEnd"/>
      <w:r w:rsidR="00C51E90" w:rsidRPr="001F7C0E">
        <w:rPr>
          <w:color w:val="000000"/>
        </w:rPr>
        <w:t xml:space="preserve"> or treatment </w:t>
      </w:r>
      <w:r w:rsidR="0040123F" w:rsidRPr="001F7C0E">
        <w:rPr>
          <w:color w:val="000000"/>
        </w:rPr>
        <w:t xml:space="preserve">will be </w:t>
      </w:r>
      <w:r w:rsidR="00C51E90" w:rsidRPr="001F7C0E">
        <w:rPr>
          <w:color w:val="000000"/>
        </w:rPr>
        <w:t>compelled</w:t>
      </w:r>
      <w:r w:rsidR="0040123F" w:rsidRPr="001F7C0E">
        <w:rPr>
          <w:color w:val="000000"/>
        </w:rPr>
        <w:t>. Thus,</w:t>
      </w:r>
      <w:r w:rsidR="00C51E90" w:rsidRPr="001F7C0E">
        <w:rPr>
          <w:color w:val="000000"/>
        </w:rPr>
        <w:t xml:space="preserve"> all states that have implemented </w:t>
      </w:r>
      <w:r w:rsidR="00CE6B40" w:rsidRPr="001F7C0E">
        <w:rPr>
          <w:color w:val="000000"/>
        </w:rPr>
        <w:t xml:space="preserve">involuntary outpatient commitment </w:t>
      </w:r>
      <w:r w:rsidR="00C51E90" w:rsidRPr="001F7C0E">
        <w:rPr>
          <w:color w:val="000000"/>
        </w:rPr>
        <w:t>have had to devote considerable legal, judicial, and fiscal resources to implementation. Inasmuch as our courts have interpreted the Massachusetts Constitution</w:t>
      </w:r>
      <w:r w:rsidR="00CF7698">
        <w:rPr>
          <w:color w:val="000000"/>
        </w:rPr>
        <w:t xml:space="preserve"> </w:t>
      </w:r>
      <w:r w:rsidR="00C51E90" w:rsidRPr="001F7C0E">
        <w:rPr>
          <w:color w:val="000000"/>
        </w:rPr>
        <w:t>to require significant due process protections in mental health cases</w:t>
      </w:r>
      <w:r w:rsidR="00CF7698">
        <w:rPr>
          <w:color w:val="000000"/>
        </w:rPr>
        <w:t xml:space="preserve"> (see section </w:t>
      </w:r>
      <w:r w:rsidR="009462F8" w:rsidRPr="00DA2C12">
        <w:rPr>
          <w:color w:val="000000"/>
        </w:rPr>
        <w:t>V</w:t>
      </w:r>
      <w:r w:rsidR="00DA2C12" w:rsidRPr="00DA2C12">
        <w:rPr>
          <w:color w:val="000000"/>
        </w:rPr>
        <w:t>I</w:t>
      </w:r>
      <w:r w:rsidR="009462F8">
        <w:rPr>
          <w:color w:val="000000"/>
        </w:rPr>
        <w:t xml:space="preserve"> </w:t>
      </w:r>
      <w:r w:rsidR="00CF7698">
        <w:rPr>
          <w:color w:val="000000"/>
        </w:rPr>
        <w:t>below)</w:t>
      </w:r>
      <w:r w:rsidR="00C51E90" w:rsidRPr="001F7C0E">
        <w:rPr>
          <w:color w:val="000000"/>
        </w:rPr>
        <w:t xml:space="preserve">, it is likely that any </w:t>
      </w:r>
      <w:r w:rsidR="00CE6B40" w:rsidRPr="001F7C0E">
        <w:rPr>
          <w:color w:val="000000"/>
        </w:rPr>
        <w:t xml:space="preserve">involuntary outpatient commitment </w:t>
      </w:r>
      <w:r w:rsidR="00C51E90" w:rsidRPr="001F7C0E">
        <w:rPr>
          <w:color w:val="000000"/>
        </w:rPr>
        <w:t xml:space="preserve">system here would have to include protections equal to or greater than those </w:t>
      </w:r>
      <w:r w:rsidR="0016713F" w:rsidRPr="001F7C0E">
        <w:rPr>
          <w:color w:val="000000"/>
        </w:rPr>
        <w:t xml:space="preserve">provided </w:t>
      </w:r>
      <w:r w:rsidR="00C51E90" w:rsidRPr="001F7C0E">
        <w:rPr>
          <w:color w:val="000000"/>
        </w:rPr>
        <w:t xml:space="preserve">in any other state. </w:t>
      </w:r>
    </w:p>
    <w:p w14:paraId="7BC1BE4F" w14:textId="77777777" w:rsidR="00477AD7" w:rsidRDefault="00477AD7" w:rsidP="00477AD7">
      <w:pPr>
        <w:pStyle w:val="CM14"/>
        <w:ind w:right="100" w:firstLine="720"/>
        <w:rPr>
          <w:color w:val="000000"/>
        </w:rPr>
      </w:pPr>
    </w:p>
    <w:p w14:paraId="69AD9D8E" w14:textId="4857041B" w:rsidR="006820C5" w:rsidRDefault="00CE6B40" w:rsidP="00477AD7">
      <w:pPr>
        <w:pStyle w:val="CM14"/>
        <w:ind w:right="100" w:firstLine="720"/>
        <w:rPr>
          <w:color w:val="000000"/>
        </w:rPr>
      </w:pPr>
      <w:r w:rsidRPr="001F7C0E">
        <w:rPr>
          <w:color w:val="000000"/>
        </w:rPr>
        <w:t xml:space="preserve">Involuntary outpatient commitment </w:t>
      </w:r>
      <w:r w:rsidR="00C51E90" w:rsidRPr="001F7C0E">
        <w:rPr>
          <w:color w:val="000000"/>
        </w:rPr>
        <w:t>laws create a greatly expanded role for the courts and a significantly increased burden on judicial resources</w:t>
      </w:r>
      <w:r w:rsidR="00BC7847">
        <w:rPr>
          <w:color w:val="000000"/>
        </w:rPr>
        <w:t xml:space="preserve">. </w:t>
      </w:r>
      <w:r w:rsidR="00C51E90" w:rsidRPr="001F7C0E">
        <w:rPr>
          <w:color w:val="000000"/>
        </w:rPr>
        <w:t xml:space="preserve">Due process requirements for </w:t>
      </w:r>
      <w:r w:rsidR="00C51E90" w:rsidRPr="001F7C0E">
        <w:rPr>
          <w:color w:val="000000"/>
        </w:rPr>
        <w:lastRenderedPageBreak/>
        <w:t>complex and nuanced evidentiary hearings</w:t>
      </w:r>
      <w:r w:rsidR="00720450" w:rsidRPr="680E9A90">
        <w:rPr>
          <w:color w:val="000000" w:themeColor="text1"/>
        </w:rPr>
        <w:t xml:space="preserve"> --</w:t>
      </w:r>
      <w:r w:rsidR="00C51E90" w:rsidRPr="001F7C0E">
        <w:rPr>
          <w:color w:val="000000"/>
        </w:rPr>
        <w:t xml:space="preserve"> with expert opinions and predictions concerning future behavior, proposed treatment plans, and evidence of the availability of mental health clinicians and programs willing to provide involuntary treatment</w:t>
      </w:r>
      <w:r w:rsidR="00720450" w:rsidRPr="680E9A90">
        <w:rPr>
          <w:color w:val="000000" w:themeColor="text1"/>
        </w:rPr>
        <w:t xml:space="preserve"> --</w:t>
      </w:r>
      <w:r w:rsidR="00C51E90" w:rsidRPr="001F7C0E">
        <w:rPr>
          <w:color w:val="000000"/>
        </w:rPr>
        <w:t xml:space="preserve"> place considerable demands on courts</w:t>
      </w:r>
      <w:r w:rsidR="00BC7847">
        <w:rPr>
          <w:color w:val="000000"/>
        </w:rPr>
        <w:t xml:space="preserve">. </w:t>
      </w:r>
      <w:r w:rsidR="00C51E90" w:rsidRPr="001F7C0E">
        <w:rPr>
          <w:color w:val="000000"/>
        </w:rPr>
        <w:t>Moreover,</w:t>
      </w:r>
      <w:r w:rsidR="000B481C">
        <w:rPr>
          <w:color w:val="000000"/>
        </w:rPr>
        <w:t xml:space="preserve"> </w:t>
      </w:r>
      <w:r w:rsidR="00C51E90" w:rsidRPr="001F7C0E">
        <w:rPr>
          <w:color w:val="000000"/>
        </w:rPr>
        <w:t xml:space="preserve">an individual subject to an </w:t>
      </w:r>
      <w:r w:rsidRPr="001F7C0E">
        <w:rPr>
          <w:color w:val="000000"/>
        </w:rPr>
        <w:t xml:space="preserve">involuntary outpatient commitment </w:t>
      </w:r>
      <w:r w:rsidR="00C51E90" w:rsidRPr="001F7C0E">
        <w:rPr>
          <w:color w:val="000000"/>
        </w:rPr>
        <w:t>petition will have a constitutional right to counsel</w:t>
      </w:r>
      <w:r w:rsidR="00AA0EF5" w:rsidRPr="680E9A90">
        <w:rPr>
          <w:color w:val="000000" w:themeColor="text1"/>
        </w:rPr>
        <w:t xml:space="preserve">, requiring </w:t>
      </w:r>
      <w:r w:rsidR="00C51E90" w:rsidRPr="001F7C0E">
        <w:rPr>
          <w:color w:val="000000"/>
        </w:rPr>
        <w:t>increased resources for the Committee for Public Counsel Services.</w:t>
      </w:r>
      <w:r w:rsidR="0082125D" w:rsidRPr="001F7C0E">
        <w:rPr>
          <w:rStyle w:val="FootnoteReference"/>
          <w:color w:val="000000"/>
        </w:rPr>
        <w:footnoteReference w:id="26"/>
      </w:r>
      <w:r w:rsidR="007E1F21">
        <w:rPr>
          <w:color w:val="000000"/>
        </w:rPr>
        <w:t xml:space="preserve"> </w:t>
      </w:r>
      <w:r w:rsidR="00542925" w:rsidRPr="001F7C0E">
        <w:rPr>
          <w:color w:val="000000"/>
        </w:rPr>
        <w:t xml:space="preserve">This is particularly alarming given the </w:t>
      </w:r>
      <w:r w:rsidR="000255E4" w:rsidRPr="001F7C0E">
        <w:rPr>
          <w:color w:val="000000"/>
        </w:rPr>
        <w:t xml:space="preserve">Committee’s current </w:t>
      </w:r>
      <w:r w:rsidR="00CD260C" w:rsidRPr="001F7C0E">
        <w:rPr>
          <w:color w:val="000000"/>
        </w:rPr>
        <w:t>difficulty finding counsel</w:t>
      </w:r>
      <w:r w:rsidR="009274F9" w:rsidRPr="001F7C0E">
        <w:rPr>
          <w:color w:val="000000"/>
        </w:rPr>
        <w:t xml:space="preserve"> -- </w:t>
      </w:r>
      <w:r w:rsidR="002C7805" w:rsidRPr="001F7C0E">
        <w:rPr>
          <w:color w:val="000000"/>
        </w:rPr>
        <w:t>both private panel attorneys and state agency staff persons</w:t>
      </w:r>
      <w:r w:rsidR="009274F9" w:rsidRPr="001F7C0E">
        <w:rPr>
          <w:color w:val="000000"/>
        </w:rPr>
        <w:t xml:space="preserve"> -- </w:t>
      </w:r>
      <w:r w:rsidR="00CD260C" w:rsidRPr="001F7C0E">
        <w:rPr>
          <w:color w:val="000000"/>
        </w:rPr>
        <w:t>to take</w:t>
      </w:r>
      <w:r w:rsidR="002C7805" w:rsidRPr="001F7C0E">
        <w:rPr>
          <w:color w:val="000000"/>
        </w:rPr>
        <w:t xml:space="preserve"> mental health cases.</w:t>
      </w:r>
      <w:r w:rsidR="009274F9" w:rsidRPr="001F7C0E">
        <w:rPr>
          <w:color w:val="000000"/>
        </w:rPr>
        <w:t xml:space="preserve"> The </w:t>
      </w:r>
      <w:r w:rsidR="00AA1E2A" w:rsidRPr="001F7C0E">
        <w:rPr>
          <w:color w:val="000000"/>
        </w:rPr>
        <w:t xml:space="preserve">Director </w:t>
      </w:r>
      <w:r w:rsidR="009274F9" w:rsidRPr="001F7C0E">
        <w:rPr>
          <w:color w:val="000000"/>
        </w:rPr>
        <w:t xml:space="preserve">of the </w:t>
      </w:r>
      <w:r w:rsidR="00AA1E2A" w:rsidRPr="001F7C0E">
        <w:rPr>
          <w:color w:val="000000"/>
        </w:rPr>
        <w:t xml:space="preserve">Committee’s </w:t>
      </w:r>
      <w:r w:rsidR="009274F9" w:rsidRPr="001F7C0E">
        <w:rPr>
          <w:color w:val="000000"/>
        </w:rPr>
        <w:t xml:space="preserve">Mental Health Litigation </w:t>
      </w:r>
      <w:r w:rsidR="00AA1E2A" w:rsidRPr="001F7C0E">
        <w:rPr>
          <w:color w:val="000000"/>
        </w:rPr>
        <w:t xml:space="preserve">Division </w:t>
      </w:r>
      <w:r w:rsidR="000752F6" w:rsidRPr="001F7C0E">
        <w:rPr>
          <w:color w:val="000000"/>
        </w:rPr>
        <w:t xml:space="preserve">reports </w:t>
      </w:r>
      <w:r w:rsidR="00AA1E2A" w:rsidRPr="001F7C0E">
        <w:rPr>
          <w:color w:val="000000"/>
        </w:rPr>
        <w:t xml:space="preserve">that </w:t>
      </w:r>
      <w:r w:rsidR="000B481C">
        <w:rPr>
          <w:color w:val="000000"/>
        </w:rPr>
        <w:t xml:space="preserve">in 2023 </w:t>
      </w:r>
      <w:r w:rsidR="000752F6" w:rsidRPr="001F7C0E">
        <w:rPr>
          <w:color w:val="000000"/>
        </w:rPr>
        <w:t>at least twelve individuals go unrepresented every day</w:t>
      </w:r>
      <w:r w:rsidR="00EC6E4B" w:rsidRPr="001F7C0E">
        <w:rPr>
          <w:color w:val="000000"/>
        </w:rPr>
        <w:t xml:space="preserve"> and </w:t>
      </w:r>
      <w:r w:rsidR="006C7F4C" w:rsidRPr="001F7C0E">
        <w:rPr>
          <w:color w:val="000000"/>
        </w:rPr>
        <w:t>confined against their will,</w:t>
      </w:r>
      <w:r w:rsidR="000752F6" w:rsidRPr="001F7C0E">
        <w:rPr>
          <w:color w:val="000000"/>
        </w:rPr>
        <w:t xml:space="preserve"> in violation of their due process rights, because </w:t>
      </w:r>
      <w:r w:rsidR="2F2B4C28" w:rsidRPr="001F7C0E">
        <w:rPr>
          <w:color w:val="000000"/>
        </w:rPr>
        <w:t>of a</w:t>
      </w:r>
      <w:r w:rsidR="000752F6" w:rsidRPr="001F7C0E">
        <w:rPr>
          <w:color w:val="000000"/>
        </w:rPr>
        <w:t xml:space="preserve"> lack of </w:t>
      </w:r>
      <w:r w:rsidR="006C7F4C" w:rsidRPr="001F7C0E">
        <w:rPr>
          <w:color w:val="000000"/>
        </w:rPr>
        <w:t xml:space="preserve">available </w:t>
      </w:r>
      <w:r w:rsidR="00EC6E4B" w:rsidRPr="001F7C0E">
        <w:rPr>
          <w:color w:val="000000"/>
        </w:rPr>
        <w:t>attorneys.</w:t>
      </w:r>
      <w:r w:rsidR="006C7F4C" w:rsidRPr="001F7C0E">
        <w:rPr>
          <w:rStyle w:val="FootnoteReference"/>
          <w:color w:val="000000"/>
        </w:rPr>
        <w:footnoteReference w:id="27"/>
      </w:r>
    </w:p>
    <w:p w14:paraId="79E5E0B5" w14:textId="77777777" w:rsidR="00477AD7" w:rsidRPr="00477AD7" w:rsidRDefault="00477AD7" w:rsidP="00E9259E">
      <w:pPr>
        <w:pStyle w:val="Default"/>
      </w:pPr>
    </w:p>
    <w:p w14:paraId="216DE54E" w14:textId="2DFF4C8E" w:rsidR="00622F82" w:rsidRDefault="00CE6B40" w:rsidP="00477AD7">
      <w:pPr>
        <w:pStyle w:val="CM14"/>
        <w:ind w:firstLine="790"/>
        <w:rPr>
          <w:color w:val="000000"/>
        </w:rPr>
      </w:pPr>
      <w:r w:rsidRPr="001F7C0E">
        <w:rPr>
          <w:color w:val="000000"/>
        </w:rPr>
        <w:t xml:space="preserve">Involuntary outpatient commitment </w:t>
      </w:r>
      <w:r w:rsidR="00C51E90" w:rsidRPr="001F7C0E">
        <w:rPr>
          <w:color w:val="000000"/>
        </w:rPr>
        <w:t>requires a judicial determination about what is necessary and appropriate treatment, with judicial approval of a treatment plan. For clinicians, providers</w:t>
      </w:r>
      <w:r w:rsidR="009F2F6F" w:rsidRPr="001F7C0E">
        <w:rPr>
          <w:color w:val="000000"/>
        </w:rPr>
        <w:t>,</w:t>
      </w:r>
      <w:r w:rsidR="00C51E90" w:rsidRPr="001F7C0E">
        <w:rPr>
          <w:color w:val="000000"/>
        </w:rPr>
        <w:t xml:space="preserve"> and Department of Mental Health (DMH) officials, </w:t>
      </w:r>
      <w:r w:rsidRPr="001F7C0E">
        <w:rPr>
          <w:color w:val="000000"/>
        </w:rPr>
        <w:t xml:space="preserve">involuntary outpatient commitment </w:t>
      </w:r>
      <w:r w:rsidR="00C51E90" w:rsidRPr="001F7C0E">
        <w:rPr>
          <w:color w:val="000000"/>
        </w:rPr>
        <w:t xml:space="preserve">means surrendering a large degree of clinical discretion and decision-making to judges. </w:t>
      </w:r>
      <w:r w:rsidR="005351F6" w:rsidRPr="001F7C0E">
        <w:rPr>
          <w:color w:val="000000"/>
        </w:rPr>
        <w:t>However, i</w:t>
      </w:r>
      <w:r w:rsidR="00C51E90" w:rsidRPr="001F7C0E">
        <w:rPr>
          <w:color w:val="000000"/>
        </w:rPr>
        <w:t>n many other situations, including community placement and institutional conditions cases, courts are reluctant to make treatment decisions that are arguably more properly within the purview of doctors and mental health professionals</w:t>
      </w:r>
      <w:r w:rsidR="005351F6" w:rsidRPr="001F7C0E">
        <w:rPr>
          <w:color w:val="000000"/>
        </w:rPr>
        <w:t>.</w:t>
      </w:r>
      <w:r w:rsidR="00353628">
        <w:rPr>
          <w:rStyle w:val="FootnoteReference"/>
          <w:color w:val="000000"/>
        </w:rPr>
        <w:footnoteReference w:id="28"/>
      </w:r>
      <w:r w:rsidR="00C51E90" w:rsidRPr="001F7C0E">
        <w:rPr>
          <w:color w:val="000000"/>
        </w:rPr>
        <w:t xml:space="preserve"> But </w:t>
      </w:r>
      <w:r w:rsidRPr="001F7C0E">
        <w:rPr>
          <w:color w:val="000000"/>
        </w:rPr>
        <w:t xml:space="preserve">involuntary </w:t>
      </w:r>
      <w:r w:rsidRPr="001F7C0E">
        <w:rPr>
          <w:color w:val="000000"/>
        </w:rPr>
        <w:lastRenderedPageBreak/>
        <w:t xml:space="preserve">outpatient commitment </w:t>
      </w:r>
      <w:r w:rsidR="00C51E90" w:rsidRPr="001F7C0E">
        <w:rPr>
          <w:color w:val="000000"/>
        </w:rPr>
        <w:t xml:space="preserve">invests the court with the final authority to make detailed decisions about the type, intensity, and frequency of mental health treatment. </w:t>
      </w:r>
    </w:p>
    <w:p w14:paraId="0E555369" w14:textId="77777777" w:rsidR="00477AD7" w:rsidRPr="00477AD7" w:rsidRDefault="00477AD7" w:rsidP="00E9259E">
      <w:pPr>
        <w:pStyle w:val="Default"/>
      </w:pPr>
    </w:p>
    <w:p w14:paraId="66AB00CE" w14:textId="00E19023" w:rsidR="00477AD7" w:rsidRDefault="00C51E90" w:rsidP="00477AD7">
      <w:pPr>
        <w:pStyle w:val="CM14"/>
        <w:ind w:firstLine="790"/>
        <w:rPr>
          <w:color w:val="000000"/>
        </w:rPr>
      </w:pPr>
      <w:r w:rsidRPr="001F7C0E">
        <w:rPr>
          <w:color w:val="000000"/>
        </w:rPr>
        <w:t>In a system with limited resources, judicially</w:t>
      </w:r>
      <w:r w:rsidR="00995F60" w:rsidRPr="001F7C0E">
        <w:rPr>
          <w:color w:val="000000"/>
        </w:rPr>
        <w:t xml:space="preserve"> </w:t>
      </w:r>
      <w:r w:rsidRPr="001F7C0E">
        <w:rPr>
          <w:color w:val="000000"/>
        </w:rPr>
        <w:t>mandated treatment frequently results in the perverse allocation of the greatest treatment resources to those who least want them, and</w:t>
      </w:r>
      <w:r w:rsidR="00F81C77">
        <w:rPr>
          <w:color w:val="000000"/>
        </w:rPr>
        <w:t>, likely,</w:t>
      </w:r>
      <w:r w:rsidRPr="001F7C0E">
        <w:rPr>
          <w:color w:val="000000"/>
        </w:rPr>
        <w:t xml:space="preserve"> the concomitant reduction in care for those </w:t>
      </w:r>
      <w:r w:rsidR="00622F82" w:rsidRPr="001F7C0E">
        <w:rPr>
          <w:color w:val="000000"/>
        </w:rPr>
        <w:t xml:space="preserve">individuals </w:t>
      </w:r>
      <w:r w:rsidRPr="001F7C0E">
        <w:rPr>
          <w:color w:val="000000"/>
        </w:rPr>
        <w:t xml:space="preserve">who most want it. When courts mandate treatment, </w:t>
      </w:r>
      <w:proofErr w:type="gramStart"/>
      <w:r w:rsidRPr="001F7C0E">
        <w:rPr>
          <w:color w:val="000000"/>
        </w:rPr>
        <w:t>states</w:t>
      </w:r>
      <w:proofErr w:type="gramEnd"/>
      <w:r w:rsidRPr="001F7C0E">
        <w:rPr>
          <w:color w:val="000000"/>
        </w:rPr>
        <w:t xml:space="preserve"> and their agents, like mental health providers, are obligated to provide that treatment, as prescribed by the judge</w:t>
      </w:r>
      <w:r w:rsidR="00BC7847">
        <w:rPr>
          <w:color w:val="000000"/>
        </w:rPr>
        <w:t xml:space="preserve">. </w:t>
      </w:r>
      <w:r w:rsidRPr="001F7C0E">
        <w:rPr>
          <w:color w:val="000000"/>
        </w:rPr>
        <w:t xml:space="preserve">Courts </w:t>
      </w:r>
      <w:r w:rsidR="00D21E37" w:rsidRPr="001F7C0E">
        <w:rPr>
          <w:color w:val="000000"/>
        </w:rPr>
        <w:t xml:space="preserve">may not have the information to balance </w:t>
      </w:r>
      <w:r w:rsidR="00765B9E" w:rsidRPr="001F7C0E">
        <w:rPr>
          <w:color w:val="000000"/>
        </w:rPr>
        <w:t xml:space="preserve">competing demands upon </w:t>
      </w:r>
      <w:r w:rsidRPr="001F7C0E">
        <w:rPr>
          <w:color w:val="000000"/>
        </w:rPr>
        <w:t>resource</w:t>
      </w:r>
      <w:r w:rsidR="00765B9E" w:rsidRPr="001F7C0E">
        <w:rPr>
          <w:color w:val="000000"/>
        </w:rPr>
        <w:t>s in the way that state agencies and providers typically do</w:t>
      </w:r>
      <w:r w:rsidR="00BC7847">
        <w:rPr>
          <w:color w:val="000000"/>
        </w:rPr>
        <w:t xml:space="preserve">. </w:t>
      </w:r>
      <w:r w:rsidR="005B6FD4" w:rsidRPr="001F7C0E">
        <w:rPr>
          <w:color w:val="000000"/>
        </w:rPr>
        <w:t xml:space="preserve">Since judges understandably focus on the individual before the court, they are not </w:t>
      </w:r>
      <w:proofErr w:type="gramStart"/>
      <w:r w:rsidR="005B6FD4" w:rsidRPr="001F7C0E">
        <w:rPr>
          <w:color w:val="000000"/>
        </w:rPr>
        <w:t>in a position</w:t>
      </w:r>
      <w:proofErr w:type="gramEnd"/>
      <w:r w:rsidR="005B6FD4" w:rsidRPr="001F7C0E">
        <w:rPr>
          <w:color w:val="000000"/>
        </w:rPr>
        <w:t xml:space="preserve"> to assess the competing needs or priorities of other mental health consumers, and particularly those who voluntarily engage in community mental health services</w:t>
      </w:r>
      <w:r w:rsidR="00BC7847">
        <w:rPr>
          <w:color w:val="000000"/>
        </w:rPr>
        <w:t xml:space="preserve">. </w:t>
      </w:r>
      <w:r w:rsidR="00555AE9" w:rsidRPr="001F7C0E">
        <w:rPr>
          <w:color w:val="000000"/>
        </w:rPr>
        <w:t>And</w:t>
      </w:r>
      <w:r w:rsidR="00044BB6" w:rsidRPr="001F7C0E">
        <w:rPr>
          <w:color w:val="000000"/>
        </w:rPr>
        <w:t xml:space="preserve"> the</w:t>
      </w:r>
      <w:r w:rsidR="00765B9E" w:rsidRPr="001F7C0E">
        <w:rPr>
          <w:color w:val="000000"/>
        </w:rPr>
        <w:t xml:space="preserve"> court </w:t>
      </w:r>
      <w:r w:rsidRPr="001F7C0E">
        <w:rPr>
          <w:color w:val="000000"/>
        </w:rPr>
        <w:t xml:space="preserve">might well </w:t>
      </w:r>
      <w:r w:rsidR="004C5C3D" w:rsidRPr="001F7C0E">
        <w:rPr>
          <w:color w:val="000000"/>
        </w:rPr>
        <w:t xml:space="preserve">issue an </w:t>
      </w:r>
      <w:r w:rsidRPr="001F7C0E">
        <w:rPr>
          <w:color w:val="000000"/>
        </w:rPr>
        <w:t>order</w:t>
      </w:r>
      <w:r w:rsidR="004C5C3D" w:rsidRPr="001F7C0E">
        <w:rPr>
          <w:color w:val="000000"/>
        </w:rPr>
        <w:t xml:space="preserve"> with respect to the individual that</w:t>
      </w:r>
      <w:r w:rsidR="00555AE9" w:rsidRPr="001F7C0E">
        <w:rPr>
          <w:color w:val="000000"/>
        </w:rPr>
        <w:t xml:space="preserve"> does not reflect what is </w:t>
      </w:r>
      <w:proofErr w:type="gramStart"/>
      <w:r w:rsidR="00555AE9" w:rsidRPr="001F7C0E">
        <w:rPr>
          <w:color w:val="000000"/>
        </w:rPr>
        <w:t>actually available</w:t>
      </w:r>
      <w:proofErr w:type="gramEnd"/>
      <w:r w:rsidR="00555AE9" w:rsidRPr="001F7C0E">
        <w:rPr>
          <w:color w:val="000000"/>
        </w:rPr>
        <w:t>.</w:t>
      </w:r>
    </w:p>
    <w:p w14:paraId="69CCE475" w14:textId="57760BAE" w:rsidR="00F51922" w:rsidRPr="001F7C0E" w:rsidRDefault="00C51E90" w:rsidP="00E9259E">
      <w:pPr>
        <w:pStyle w:val="CM14"/>
        <w:ind w:firstLine="790"/>
        <w:rPr>
          <w:color w:val="000000"/>
        </w:rPr>
      </w:pPr>
      <w:r w:rsidRPr="001F7C0E">
        <w:rPr>
          <w:color w:val="000000"/>
        </w:rPr>
        <w:t xml:space="preserve">  </w:t>
      </w:r>
    </w:p>
    <w:p w14:paraId="746540FB" w14:textId="43A15B75" w:rsidR="00C51E90" w:rsidRPr="001F7C0E" w:rsidRDefault="00DF33DB" w:rsidP="00E9259E">
      <w:pPr>
        <w:pStyle w:val="CM14"/>
        <w:ind w:firstLine="790"/>
        <w:rPr>
          <w:color w:val="000000"/>
        </w:rPr>
      </w:pPr>
      <w:r>
        <w:rPr>
          <w:color w:val="000000"/>
        </w:rPr>
        <w:t xml:space="preserve">Moreover, </w:t>
      </w:r>
      <w:r w:rsidR="00C51E90" w:rsidRPr="001F7C0E">
        <w:rPr>
          <w:color w:val="000000"/>
        </w:rPr>
        <w:t>each time a commitment order expires, due process requirements apply equally to any new order or any extension of an existing commitment order</w:t>
      </w:r>
      <w:r w:rsidR="00BC7847">
        <w:rPr>
          <w:color w:val="000000"/>
        </w:rPr>
        <w:t xml:space="preserve">. </w:t>
      </w:r>
      <w:r w:rsidR="00F25CF5" w:rsidRPr="001F7C0E">
        <w:rPr>
          <w:color w:val="000000"/>
        </w:rPr>
        <w:t xml:space="preserve">Each new hearing </w:t>
      </w:r>
      <w:r w:rsidR="00EA69C6" w:rsidRPr="001F7C0E">
        <w:rPr>
          <w:color w:val="000000"/>
        </w:rPr>
        <w:t xml:space="preserve">demands </w:t>
      </w:r>
      <w:r w:rsidR="00C51E90" w:rsidRPr="001F7C0E">
        <w:rPr>
          <w:color w:val="000000"/>
        </w:rPr>
        <w:t xml:space="preserve">the concomitant resources, including </w:t>
      </w:r>
      <w:r w:rsidR="00EA61CC" w:rsidRPr="001F7C0E">
        <w:rPr>
          <w:color w:val="000000"/>
        </w:rPr>
        <w:t xml:space="preserve">the petitioner’s resources, </w:t>
      </w:r>
      <w:r w:rsidR="00C51E90" w:rsidRPr="001F7C0E">
        <w:rPr>
          <w:color w:val="000000"/>
        </w:rPr>
        <w:t>appointed counsel</w:t>
      </w:r>
      <w:r w:rsidR="00EA69C6" w:rsidRPr="001F7C0E">
        <w:rPr>
          <w:color w:val="000000"/>
        </w:rPr>
        <w:t xml:space="preserve">, </w:t>
      </w:r>
      <w:r w:rsidR="006C3BCA" w:rsidRPr="001F7C0E">
        <w:rPr>
          <w:color w:val="000000"/>
        </w:rPr>
        <w:t>j</w:t>
      </w:r>
      <w:r w:rsidR="00EA69C6" w:rsidRPr="001F7C0E">
        <w:rPr>
          <w:color w:val="000000"/>
        </w:rPr>
        <w:t>udicial attention</w:t>
      </w:r>
      <w:r w:rsidR="006C3BCA" w:rsidRPr="001F7C0E">
        <w:rPr>
          <w:color w:val="000000"/>
        </w:rPr>
        <w:t>, and administrative activities, discussed further in the next section</w:t>
      </w:r>
      <w:r>
        <w:rPr>
          <w:color w:val="000000"/>
        </w:rPr>
        <w:t>.</w:t>
      </w:r>
    </w:p>
    <w:p w14:paraId="08684566" w14:textId="77777777" w:rsidR="00477AD7" w:rsidRDefault="00477AD7" w:rsidP="002D4EC6">
      <w:pPr>
        <w:pStyle w:val="Heading2"/>
      </w:pPr>
    </w:p>
    <w:p w14:paraId="6B7ACD46" w14:textId="4DDEF27D" w:rsidR="00C51E90" w:rsidRPr="001F7C0E" w:rsidRDefault="00706C8A" w:rsidP="00E9259E">
      <w:pPr>
        <w:pStyle w:val="Heading2"/>
        <w:ind w:left="720" w:hanging="720"/>
      </w:pPr>
      <w:r>
        <w:t>B</w:t>
      </w:r>
      <w:r w:rsidR="00C51E90" w:rsidRPr="001F7C0E">
        <w:t xml:space="preserve">. </w:t>
      </w:r>
      <w:r w:rsidR="00477AD7">
        <w:tab/>
      </w:r>
      <w:r w:rsidR="00C51E90" w:rsidRPr="001F7C0E">
        <w:t>Monitoring and Enforcement</w:t>
      </w:r>
      <w:r w:rsidR="00BB7D07" w:rsidRPr="001F7C0E">
        <w:t xml:space="preserve"> </w:t>
      </w:r>
      <w:r w:rsidR="00CD4CF2">
        <w:t xml:space="preserve">of Involuntary Outpatient Commitment </w:t>
      </w:r>
      <w:r w:rsidR="00DA60D9">
        <w:t xml:space="preserve">Will </w:t>
      </w:r>
      <w:r w:rsidR="009D7EB1">
        <w:t>b</w:t>
      </w:r>
      <w:r w:rsidR="00BB7D07" w:rsidRPr="001F7C0E">
        <w:t>e Resource-Intensive</w:t>
      </w:r>
      <w:r w:rsidR="00574539">
        <w:t>.</w:t>
      </w:r>
      <w:r w:rsidR="00C51E90" w:rsidRPr="001F7C0E">
        <w:t xml:space="preserve"> </w:t>
      </w:r>
    </w:p>
    <w:p w14:paraId="6D78882F" w14:textId="200E104C" w:rsidR="00C51E90" w:rsidRPr="001F7C0E" w:rsidRDefault="00C51E90" w:rsidP="00B66B33">
      <w:pPr>
        <w:pStyle w:val="CM15"/>
        <w:spacing w:after="297" w:line="276" w:lineRule="atLeast"/>
        <w:ind w:firstLine="720"/>
        <w:rPr>
          <w:i/>
          <w:iCs/>
        </w:rPr>
      </w:pPr>
      <w:r w:rsidRPr="001F7C0E">
        <w:rPr>
          <w:color w:val="000000"/>
        </w:rPr>
        <w:t xml:space="preserve">One of the most significant challenges for any </w:t>
      </w:r>
      <w:r w:rsidR="00CE6B40" w:rsidRPr="001F7C0E">
        <w:rPr>
          <w:color w:val="000000"/>
        </w:rPr>
        <w:t>involuntary outpatient commitment</w:t>
      </w:r>
      <w:r w:rsidRPr="001F7C0E">
        <w:rPr>
          <w:color w:val="000000"/>
        </w:rPr>
        <w:t xml:space="preserve"> system is the need to construct an efficient monitoring and enforcement scheme</w:t>
      </w:r>
      <w:r w:rsidR="00BC7847">
        <w:rPr>
          <w:color w:val="000000"/>
        </w:rPr>
        <w:t xml:space="preserve">. </w:t>
      </w:r>
      <w:r w:rsidRPr="001F7C0E">
        <w:rPr>
          <w:color w:val="000000"/>
        </w:rPr>
        <w:t xml:space="preserve">Many states with </w:t>
      </w:r>
      <w:r w:rsidR="00CE6B40" w:rsidRPr="001F7C0E">
        <w:rPr>
          <w:color w:val="000000"/>
        </w:rPr>
        <w:t xml:space="preserve">involuntary outpatient commitment </w:t>
      </w:r>
      <w:r w:rsidRPr="001F7C0E">
        <w:rPr>
          <w:color w:val="000000"/>
        </w:rPr>
        <w:t>grapple with the problem of how to ensure compliance with order</w:t>
      </w:r>
      <w:r w:rsidR="0004078E">
        <w:rPr>
          <w:color w:val="000000"/>
        </w:rPr>
        <w:t>s and</w:t>
      </w:r>
      <w:r w:rsidR="0004078E" w:rsidRPr="0004078E">
        <w:rPr>
          <w:color w:val="000000"/>
        </w:rPr>
        <w:t xml:space="preserve"> </w:t>
      </w:r>
      <w:r w:rsidR="009214AA">
        <w:rPr>
          <w:color w:val="000000"/>
        </w:rPr>
        <w:t xml:space="preserve">with </w:t>
      </w:r>
      <w:r w:rsidR="002476EB">
        <w:rPr>
          <w:color w:val="000000"/>
        </w:rPr>
        <w:t>assign</w:t>
      </w:r>
      <w:r w:rsidR="001F2C49">
        <w:rPr>
          <w:color w:val="000000"/>
        </w:rPr>
        <w:t>ing</w:t>
      </w:r>
      <w:r w:rsidR="0004078E" w:rsidRPr="0004078E">
        <w:rPr>
          <w:color w:val="000000"/>
        </w:rPr>
        <w:t xml:space="preserve"> responsib</w:t>
      </w:r>
      <w:r w:rsidR="00482D89">
        <w:rPr>
          <w:color w:val="000000"/>
        </w:rPr>
        <w:t>ility</w:t>
      </w:r>
      <w:r w:rsidR="0004078E" w:rsidRPr="0004078E">
        <w:rPr>
          <w:color w:val="000000"/>
        </w:rPr>
        <w:t xml:space="preserve"> </w:t>
      </w:r>
      <w:r w:rsidR="0004078E">
        <w:rPr>
          <w:color w:val="000000"/>
        </w:rPr>
        <w:t xml:space="preserve">for </w:t>
      </w:r>
      <w:r w:rsidR="001F2C49">
        <w:rPr>
          <w:color w:val="000000"/>
        </w:rPr>
        <w:t>this job</w:t>
      </w:r>
      <w:r w:rsidR="0004078E">
        <w:rPr>
          <w:color w:val="000000"/>
        </w:rPr>
        <w:t>. Jurisdictions also struggle to determine which</w:t>
      </w:r>
      <w:r w:rsidRPr="001F7C0E">
        <w:rPr>
          <w:color w:val="000000"/>
        </w:rPr>
        <w:t xml:space="preserve"> agency should bear the ongoing and considerable costs of enforcement</w:t>
      </w:r>
      <w:r w:rsidR="0004078E">
        <w:rPr>
          <w:color w:val="000000"/>
        </w:rPr>
        <w:t xml:space="preserve"> </w:t>
      </w:r>
      <w:r w:rsidRPr="001F7C0E">
        <w:rPr>
          <w:color w:val="000000"/>
        </w:rPr>
        <w:t xml:space="preserve">and how to promote treatment compliance and engagement without </w:t>
      </w:r>
      <w:r w:rsidR="00174338" w:rsidRPr="001F7C0E">
        <w:rPr>
          <w:color w:val="000000"/>
        </w:rPr>
        <w:t>doing substantial harm through</w:t>
      </w:r>
      <w:r w:rsidRPr="001F7C0E">
        <w:rPr>
          <w:color w:val="000000"/>
        </w:rPr>
        <w:t xml:space="preserve"> coercion. </w:t>
      </w:r>
      <w:r w:rsidR="00044BB6" w:rsidRPr="001F7C0E">
        <w:rPr>
          <w:color w:val="000000"/>
        </w:rPr>
        <w:t>E</w:t>
      </w:r>
      <w:r w:rsidRPr="001F7C0E">
        <w:t>nforcement is undeniably costly</w:t>
      </w:r>
      <w:r w:rsidR="009D7EB1">
        <w:t>.</w:t>
      </w:r>
      <w:r w:rsidRPr="001F7C0E">
        <w:t xml:space="preserve"> "States that have not invested in meaningful and costly enforcement mechanisms have found that </w:t>
      </w:r>
      <w:r w:rsidR="00CE6B40" w:rsidRPr="001F7C0E">
        <w:t xml:space="preserve">involuntary outpatient commitment </w:t>
      </w:r>
      <w:r w:rsidRPr="001F7C0E">
        <w:t>is not useful or widely used."</w:t>
      </w:r>
      <w:r w:rsidR="00044BB6" w:rsidRPr="001F7C0E">
        <w:rPr>
          <w:rStyle w:val="FootnoteReference"/>
        </w:rPr>
        <w:footnoteReference w:id="29"/>
      </w:r>
      <w:r w:rsidRPr="001F7C0E">
        <w:t xml:space="preserve"> </w:t>
      </w:r>
    </w:p>
    <w:p w14:paraId="51C76B3A" w14:textId="29010DAA" w:rsidR="00C51E90" w:rsidRPr="001F7C0E" w:rsidRDefault="00C51E90" w:rsidP="00D76135">
      <w:pPr>
        <w:pStyle w:val="CM15"/>
        <w:spacing w:after="297" w:line="276" w:lineRule="atLeast"/>
        <w:ind w:firstLine="720"/>
        <w:rPr>
          <w:color w:val="000000"/>
        </w:rPr>
      </w:pPr>
      <w:r w:rsidRPr="001F7C0E">
        <w:rPr>
          <w:color w:val="000000"/>
        </w:rPr>
        <w:t>In those states that rely on court probation departments for enforcement, there are significant</w:t>
      </w:r>
      <w:r w:rsidR="003D5FCF" w:rsidRPr="001F7C0E">
        <w:rPr>
          <w:color w:val="000000"/>
        </w:rPr>
        <w:t>ly</w:t>
      </w:r>
      <w:r w:rsidRPr="001F7C0E">
        <w:rPr>
          <w:color w:val="000000"/>
        </w:rPr>
        <w:t xml:space="preserve"> increased costs and administrative </w:t>
      </w:r>
      <w:r w:rsidR="00EF33E3">
        <w:rPr>
          <w:color w:val="000000"/>
        </w:rPr>
        <w:t>burdens</w:t>
      </w:r>
      <w:r w:rsidRPr="001F7C0E">
        <w:rPr>
          <w:color w:val="000000"/>
        </w:rPr>
        <w:t xml:space="preserve"> on a system that</w:t>
      </w:r>
      <w:r w:rsidR="00F25730">
        <w:rPr>
          <w:color w:val="000000"/>
        </w:rPr>
        <w:t xml:space="preserve"> is</w:t>
      </w:r>
      <w:r w:rsidRPr="001F7C0E">
        <w:rPr>
          <w:color w:val="000000"/>
        </w:rPr>
        <w:t xml:space="preserve"> already </w:t>
      </w:r>
      <w:r w:rsidR="00F25730">
        <w:rPr>
          <w:color w:val="000000"/>
        </w:rPr>
        <w:t>overburdened</w:t>
      </w:r>
      <w:r w:rsidRPr="001F7C0E">
        <w:rPr>
          <w:color w:val="000000"/>
        </w:rPr>
        <w:t>. These costs and burdens leave less time for probation</w:t>
      </w:r>
      <w:r w:rsidR="00A714B6">
        <w:rPr>
          <w:color w:val="000000"/>
        </w:rPr>
        <w:t xml:space="preserve"> officers</w:t>
      </w:r>
      <w:r w:rsidRPr="001F7C0E">
        <w:rPr>
          <w:color w:val="000000"/>
        </w:rPr>
        <w:t xml:space="preserve"> to </w:t>
      </w:r>
      <w:r w:rsidR="00A126F1" w:rsidRPr="001F7C0E">
        <w:rPr>
          <w:color w:val="000000"/>
        </w:rPr>
        <w:t xml:space="preserve">engage in their traditional </w:t>
      </w:r>
      <w:r w:rsidR="00A714B6" w:rsidRPr="001F7C0E">
        <w:rPr>
          <w:color w:val="000000"/>
        </w:rPr>
        <w:t>responsibilit</w:t>
      </w:r>
      <w:r w:rsidR="00A714B6">
        <w:rPr>
          <w:color w:val="000000"/>
        </w:rPr>
        <w:t>y</w:t>
      </w:r>
      <w:r w:rsidR="00A714B6" w:rsidRPr="001F7C0E">
        <w:rPr>
          <w:color w:val="000000"/>
        </w:rPr>
        <w:t xml:space="preserve"> </w:t>
      </w:r>
      <w:r w:rsidR="00A126F1" w:rsidRPr="001F7C0E">
        <w:rPr>
          <w:color w:val="000000"/>
        </w:rPr>
        <w:t xml:space="preserve">of </w:t>
      </w:r>
      <w:r w:rsidRPr="001F7C0E">
        <w:rPr>
          <w:color w:val="000000"/>
        </w:rPr>
        <w:t>ensur</w:t>
      </w:r>
      <w:r w:rsidR="00A126F1" w:rsidRPr="001F7C0E">
        <w:rPr>
          <w:color w:val="000000"/>
        </w:rPr>
        <w:t>ing</w:t>
      </w:r>
      <w:r w:rsidRPr="001F7C0E">
        <w:rPr>
          <w:color w:val="000000"/>
        </w:rPr>
        <w:t xml:space="preserve"> criminal offenders</w:t>
      </w:r>
      <w:r w:rsidR="0004078E">
        <w:rPr>
          <w:color w:val="000000"/>
        </w:rPr>
        <w:t>’ compliance</w:t>
      </w:r>
      <w:r w:rsidRPr="001F7C0E">
        <w:rPr>
          <w:color w:val="000000"/>
        </w:rPr>
        <w:t xml:space="preserve"> with judicially</w:t>
      </w:r>
      <w:r w:rsidR="00995F60" w:rsidRPr="001F7C0E">
        <w:rPr>
          <w:color w:val="000000"/>
        </w:rPr>
        <w:t xml:space="preserve"> </w:t>
      </w:r>
      <w:r w:rsidRPr="001F7C0E">
        <w:rPr>
          <w:color w:val="000000"/>
        </w:rPr>
        <w:t xml:space="preserve">imposed restrictions. </w:t>
      </w:r>
      <w:r w:rsidR="00DB155F" w:rsidRPr="001F7C0E">
        <w:rPr>
          <w:color w:val="000000"/>
        </w:rPr>
        <w:t>Additionally</w:t>
      </w:r>
      <w:r w:rsidRPr="001F7C0E">
        <w:rPr>
          <w:color w:val="000000"/>
        </w:rPr>
        <w:t xml:space="preserve">, probation officers </w:t>
      </w:r>
      <w:r w:rsidR="00A10D84" w:rsidRPr="001F7C0E">
        <w:rPr>
          <w:color w:val="000000"/>
        </w:rPr>
        <w:t>do</w:t>
      </w:r>
      <w:r w:rsidR="00747EF2" w:rsidRPr="001F7C0E">
        <w:rPr>
          <w:color w:val="000000"/>
        </w:rPr>
        <w:t xml:space="preserve"> no</w:t>
      </w:r>
      <w:r w:rsidR="00A10D84" w:rsidRPr="001F7C0E">
        <w:rPr>
          <w:color w:val="000000"/>
        </w:rPr>
        <w:t xml:space="preserve">t have the training or resources </w:t>
      </w:r>
      <w:r w:rsidRPr="001F7C0E">
        <w:rPr>
          <w:color w:val="000000"/>
        </w:rPr>
        <w:t xml:space="preserve">to </w:t>
      </w:r>
      <w:r w:rsidR="53112AAB" w:rsidRPr="001F7C0E">
        <w:rPr>
          <w:color w:val="000000"/>
        </w:rPr>
        <w:t xml:space="preserve">work effectively </w:t>
      </w:r>
      <w:r w:rsidRPr="001F7C0E">
        <w:rPr>
          <w:color w:val="000000"/>
        </w:rPr>
        <w:t>with people with psychiatric disabilities</w:t>
      </w:r>
      <w:r w:rsidR="0004078E">
        <w:rPr>
          <w:color w:val="000000"/>
        </w:rPr>
        <w:t>, so t</w:t>
      </w:r>
      <w:r w:rsidRPr="001F7C0E">
        <w:rPr>
          <w:color w:val="000000"/>
        </w:rPr>
        <w:t xml:space="preserve">he burden of monitoring </w:t>
      </w:r>
      <w:r w:rsidR="00EF33E3">
        <w:rPr>
          <w:color w:val="000000"/>
        </w:rPr>
        <w:t xml:space="preserve">often </w:t>
      </w:r>
      <w:r w:rsidRPr="001F7C0E">
        <w:rPr>
          <w:color w:val="000000"/>
        </w:rPr>
        <w:t>fall</w:t>
      </w:r>
      <w:r w:rsidR="0004078E">
        <w:rPr>
          <w:color w:val="000000"/>
        </w:rPr>
        <w:t>s</w:t>
      </w:r>
      <w:r w:rsidRPr="001F7C0E">
        <w:rPr>
          <w:color w:val="000000"/>
        </w:rPr>
        <w:t xml:space="preserve"> on treatment providers</w:t>
      </w:r>
      <w:r w:rsidR="00F97287">
        <w:rPr>
          <w:color w:val="000000"/>
        </w:rPr>
        <w:t xml:space="preserve"> who also </w:t>
      </w:r>
      <w:r w:rsidRPr="001F7C0E">
        <w:rPr>
          <w:color w:val="000000"/>
        </w:rPr>
        <w:t>simply "do not have the resources to provide high levels of supervision."</w:t>
      </w:r>
      <w:r w:rsidR="00044BB6" w:rsidRPr="001F7C0E">
        <w:rPr>
          <w:rStyle w:val="FootnoteReference"/>
          <w:color w:val="000000"/>
        </w:rPr>
        <w:footnoteReference w:id="30"/>
      </w:r>
      <w:r w:rsidRPr="001F7C0E">
        <w:rPr>
          <w:color w:val="000000"/>
        </w:rPr>
        <w:t xml:space="preserve"> In Massachusetts, </w:t>
      </w:r>
      <w:r w:rsidR="00A17A8E" w:rsidRPr="001F7C0E">
        <w:rPr>
          <w:color w:val="000000"/>
        </w:rPr>
        <w:t>it is unclear who would have the capacity to assume this responsibility. DMH</w:t>
      </w:r>
      <w:r w:rsidR="009D7EB1">
        <w:rPr>
          <w:color w:val="000000"/>
        </w:rPr>
        <w:t xml:space="preserve"> </w:t>
      </w:r>
      <w:r w:rsidR="00A957CE" w:rsidRPr="001F7C0E">
        <w:rPr>
          <w:color w:val="000000"/>
        </w:rPr>
        <w:t xml:space="preserve">has </w:t>
      </w:r>
      <w:r w:rsidR="009D7EB1">
        <w:rPr>
          <w:color w:val="000000"/>
        </w:rPr>
        <w:t xml:space="preserve">very </w:t>
      </w:r>
      <w:r w:rsidR="00A957CE" w:rsidRPr="001F7C0E">
        <w:rPr>
          <w:color w:val="000000"/>
        </w:rPr>
        <w:t xml:space="preserve">limited case management capacity and </w:t>
      </w:r>
      <w:r w:rsidR="002A58E4" w:rsidRPr="001F7C0E">
        <w:rPr>
          <w:color w:val="000000"/>
        </w:rPr>
        <w:t xml:space="preserve">both DMH and </w:t>
      </w:r>
      <w:r w:rsidR="00A957CE" w:rsidRPr="001F7C0E">
        <w:rPr>
          <w:color w:val="000000"/>
        </w:rPr>
        <w:t xml:space="preserve">their </w:t>
      </w:r>
      <w:r w:rsidR="00A957CE" w:rsidRPr="001F7C0E">
        <w:rPr>
          <w:color w:val="000000"/>
        </w:rPr>
        <w:lastRenderedPageBreak/>
        <w:t xml:space="preserve">contracted providers are </w:t>
      </w:r>
      <w:r w:rsidR="002A58E4" w:rsidRPr="001F7C0E">
        <w:rPr>
          <w:color w:val="000000"/>
        </w:rPr>
        <w:t xml:space="preserve">facing </w:t>
      </w:r>
      <w:r w:rsidR="009D7EB1">
        <w:rPr>
          <w:color w:val="000000"/>
        </w:rPr>
        <w:t xml:space="preserve">serious </w:t>
      </w:r>
      <w:r w:rsidR="002A58E4" w:rsidRPr="001F7C0E">
        <w:rPr>
          <w:color w:val="000000"/>
        </w:rPr>
        <w:t xml:space="preserve">workforce shortages. </w:t>
      </w:r>
    </w:p>
    <w:p w14:paraId="5B1410D0" w14:textId="0D90E774" w:rsidR="00F51922" w:rsidRPr="002F5F4B" w:rsidRDefault="00F97287" w:rsidP="00E9259E">
      <w:pPr>
        <w:ind w:firstLine="720"/>
        <w:rPr>
          <w:color w:val="212121"/>
        </w:rPr>
      </w:pPr>
      <w:r>
        <w:t>D</w:t>
      </w:r>
      <w:r w:rsidR="00BA1F99" w:rsidRPr="001F7C0E">
        <w:t xml:space="preserve">elegating </w:t>
      </w:r>
      <w:r>
        <w:t xml:space="preserve">monitoring and enforcement </w:t>
      </w:r>
      <w:r w:rsidR="00BA1F99" w:rsidRPr="001F7C0E">
        <w:t>to</w:t>
      </w:r>
      <w:r w:rsidR="00A13855" w:rsidRPr="001F7C0E">
        <w:t xml:space="preserve"> a </w:t>
      </w:r>
      <w:r w:rsidR="00C51E90" w:rsidRPr="001F7C0E">
        <w:t>mental health treatment provider</w:t>
      </w:r>
      <w:r w:rsidR="00A13855" w:rsidRPr="001F7C0E">
        <w:t xml:space="preserve"> </w:t>
      </w:r>
      <w:r>
        <w:t xml:space="preserve">who would then have </w:t>
      </w:r>
      <w:r w:rsidR="0027418E" w:rsidRPr="001F7C0E">
        <w:t xml:space="preserve">competing </w:t>
      </w:r>
      <w:r w:rsidR="00A13855" w:rsidRPr="001F7C0E">
        <w:t xml:space="preserve">responsibilities </w:t>
      </w:r>
      <w:r w:rsidR="00236690" w:rsidRPr="001F7C0E">
        <w:t xml:space="preserve">as </w:t>
      </w:r>
      <w:r w:rsidR="0004078E">
        <w:t xml:space="preserve">patients’ </w:t>
      </w:r>
      <w:r w:rsidR="00C51E90" w:rsidRPr="001F7C0E">
        <w:t xml:space="preserve">therapeutic support and </w:t>
      </w:r>
      <w:r w:rsidR="00CE6B40" w:rsidRPr="001F7C0E">
        <w:t>involuntary outpatient commitment</w:t>
      </w:r>
      <w:r w:rsidR="00C51E90" w:rsidRPr="001F7C0E">
        <w:t xml:space="preserve"> order</w:t>
      </w:r>
      <w:r w:rsidR="00BA1F99" w:rsidRPr="001F7C0E">
        <w:t xml:space="preserve"> </w:t>
      </w:r>
      <w:r w:rsidR="006C7699">
        <w:t xml:space="preserve">monitor </w:t>
      </w:r>
      <w:r w:rsidR="00461278" w:rsidRPr="001F7C0E">
        <w:t xml:space="preserve">threatens </w:t>
      </w:r>
      <w:r>
        <w:t xml:space="preserve">the </w:t>
      </w:r>
      <w:r w:rsidR="009D7EB1">
        <w:t>therapeutic alliance</w:t>
      </w:r>
      <w:r w:rsidR="006C7699">
        <w:t xml:space="preserve"> and</w:t>
      </w:r>
      <w:r w:rsidR="00D544C4">
        <w:t>,</w:t>
      </w:r>
      <w:r w:rsidR="006C7699">
        <w:t xml:space="preserve"> thus</w:t>
      </w:r>
      <w:r w:rsidR="00D544C4">
        <w:t>,</w:t>
      </w:r>
      <w:r w:rsidR="006C7699">
        <w:t xml:space="preserve"> </w:t>
      </w:r>
      <w:r w:rsidR="006C7699" w:rsidRPr="006C7699">
        <w:t>the effectiveness of mental health treatment</w:t>
      </w:r>
      <w:r w:rsidR="006C7699">
        <w:t xml:space="preserve">, which can ironically </w:t>
      </w:r>
      <w:r w:rsidR="00C51E90" w:rsidRPr="001F7C0E">
        <w:t>result in increased non-compliance.</w:t>
      </w:r>
      <w:r w:rsidR="00044BB6" w:rsidRPr="001F7C0E">
        <w:rPr>
          <w:rStyle w:val="FootnoteReference"/>
        </w:rPr>
        <w:footnoteReference w:id="31"/>
      </w:r>
      <w:r w:rsidR="00307052" w:rsidRPr="001F7C0E">
        <w:t xml:space="preserve"> </w:t>
      </w:r>
      <w:r w:rsidR="00C51E90" w:rsidRPr="001F7C0E">
        <w:t xml:space="preserve">This clinical </w:t>
      </w:r>
      <w:r w:rsidR="00461278" w:rsidRPr="001F7C0E">
        <w:t>consequ</w:t>
      </w:r>
      <w:r w:rsidR="00F24436" w:rsidRPr="001F7C0E">
        <w:t>ence</w:t>
      </w:r>
      <w:r w:rsidR="00461278" w:rsidRPr="001F7C0E">
        <w:t xml:space="preserve"> </w:t>
      </w:r>
      <w:r w:rsidR="00C51E90" w:rsidRPr="001F7C0E">
        <w:t xml:space="preserve">is </w:t>
      </w:r>
      <w:r w:rsidR="006C7699">
        <w:t>a substantial</w:t>
      </w:r>
      <w:r w:rsidR="00C51E90" w:rsidRPr="001F7C0E">
        <w:t xml:space="preserve"> non-fiscal cost of </w:t>
      </w:r>
      <w:r w:rsidR="00CE6B40" w:rsidRPr="001F7C0E">
        <w:t>involuntary outpatient commitment</w:t>
      </w:r>
      <w:r w:rsidR="00C51E90" w:rsidRPr="001F7C0E">
        <w:t>.</w:t>
      </w:r>
      <w:r w:rsidR="00307052" w:rsidRPr="001F7C0E">
        <w:rPr>
          <w:rStyle w:val="FootnoteReference"/>
        </w:rPr>
        <w:footnoteReference w:id="32"/>
      </w:r>
    </w:p>
    <w:p w14:paraId="24C6910A" w14:textId="7D09835E" w:rsidR="00BB3335" w:rsidRPr="001F7C0E" w:rsidRDefault="00C51E90" w:rsidP="002F5F4B">
      <w:pPr>
        <w:pStyle w:val="Heading1"/>
        <w:rPr>
          <w:bCs/>
          <w:color w:val="000000"/>
        </w:rPr>
      </w:pPr>
      <w:r w:rsidRPr="37674375">
        <w:t xml:space="preserve">V. </w:t>
      </w:r>
      <w:r>
        <w:tab/>
      </w:r>
      <w:r w:rsidR="00BB3335" w:rsidRPr="37674375">
        <w:t>INVOLUNTARY OUTPATIENT COMMITMENT PROPOSALS RAISE SERIOUS DESIGN AND IMPLEMENTATION CONCERNS</w:t>
      </w:r>
      <w:r w:rsidR="00574539">
        <w:t>.</w:t>
      </w:r>
      <w:r w:rsidR="00BB3335" w:rsidRPr="37674375">
        <w:t xml:space="preserve"> </w:t>
      </w:r>
    </w:p>
    <w:p w14:paraId="342C037C" w14:textId="465DAB88" w:rsidR="00BB3335" w:rsidRPr="001F7C0E" w:rsidRDefault="00BB3335" w:rsidP="00B8324B">
      <w:pPr>
        <w:pStyle w:val="CM15"/>
        <w:spacing w:after="297" w:line="276" w:lineRule="atLeast"/>
        <w:ind w:left="720" w:right="87" w:hanging="720"/>
        <w:rPr>
          <w:color w:val="000000"/>
        </w:rPr>
      </w:pPr>
      <w:r w:rsidRPr="001F7C0E">
        <w:rPr>
          <w:i/>
          <w:iCs/>
          <w:color w:val="000000"/>
        </w:rPr>
        <w:t xml:space="preserve">A. </w:t>
      </w:r>
      <w:r w:rsidRPr="001F7C0E">
        <w:rPr>
          <w:i/>
          <w:iCs/>
          <w:color w:val="000000"/>
        </w:rPr>
        <w:tab/>
      </w:r>
      <w:r w:rsidRPr="002D4EC6">
        <w:rPr>
          <w:rStyle w:val="Heading2Char"/>
        </w:rPr>
        <w:t>Persons Who Would Benefit from Involuntary Outpatient Commitment Would Likely Participate in a Well-designed Voluntary Program of Services</w:t>
      </w:r>
      <w:r w:rsidR="001830C2">
        <w:rPr>
          <w:rStyle w:val="Heading2Char"/>
        </w:rPr>
        <w:t xml:space="preserve">, </w:t>
      </w:r>
      <w:r w:rsidR="00770492">
        <w:rPr>
          <w:rStyle w:val="Heading2Char"/>
        </w:rPr>
        <w:t>w</w:t>
      </w:r>
      <w:r w:rsidR="001830C2">
        <w:rPr>
          <w:rStyle w:val="Heading2Char"/>
        </w:rPr>
        <w:t>hich is</w:t>
      </w:r>
      <w:r w:rsidR="00770492">
        <w:rPr>
          <w:rStyle w:val="Heading2Char"/>
        </w:rPr>
        <w:t xml:space="preserve"> a</w:t>
      </w:r>
      <w:r w:rsidRPr="002D4EC6">
        <w:rPr>
          <w:rStyle w:val="Heading2Char"/>
        </w:rPr>
        <w:t xml:space="preserve"> Less Expensive Alternative</w:t>
      </w:r>
      <w:r w:rsidR="00574539">
        <w:rPr>
          <w:rStyle w:val="Heading2Char"/>
        </w:rPr>
        <w:t>.</w:t>
      </w:r>
      <w:r>
        <w:rPr>
          <w:i/>
          <w:iCs/>
          <w:color w:val="000000"/>
        </w:rPr>
        <w:t xml:space="preserve"> </w:t>
      </w:r>
    </w:p>
    <w:p w14:paraId="178E8224" w14:textId="6FEB9857" w:rsidR="00BB3335" w:rsidRPr="001F7C0E" w:rsidRDefault="00BB3335" w:rsidP="00BB3335">
      <w:pPr>
        <w:pStyle w:val="CM14"/>
        <w:spacing w:after="375" w:line="276" w:lineRule="atLeast"/>
        <w:ind w:firstLine="720"/>
        <w:rPr>
          <w:color w:val="000000"/>
        </w:rPr>
      </w:pPr>
      <w:r w:rsidRPr="001F7C0E">
        <w:rPr>
          <w:color w:val="000000"/>
        </w:rPr>
        <w:t>Outpatient commitment is not a wise investment of resources because most people who would be subject to such an order would likely voluntarily participate in a well-designed and respectfully implemented non-coercive community mental health program</w:t>
      </w:r>
      <w:r w:rsidR="00BC7847">
        <w:rPr>
          <w:color w:val="000000"/>
        </w:rPr>
        <w:t xml:space="preserve">. </w:t>
      </w:r>
      <w:r w:rsidRPr="001F7C0E">
        <w:rPr>
          <w:color w:val="000000"/>
        </w:rPr>
        <w:t>Indeed, the President's New Freedom Commission on Mental Health's Subcommittee on Rights and Engagement found that "[t]</w:t>
      </w:r>
      <w:proofErr w:type="spellStart"/>
      <w:r w:rsidRPr="001F7C0E">
        <w:rPr>
          <w:color w:val="000000"/>
        </w:rPr>
        <w:t>oo</w:t>
      </w:r>
      <w:proofErr w:type="spellEnd"/>
      <w:r w:rsidRPr="001F7C0E">
        <w:rPr>
          <w:color w:val="000000"/>
        </w:rPr>
        <w:t xml:space="preserve"> often, the services absent from a community's mental health care continuum are precisely those services that would most likely engage the consumer in voluntary treatment."</w:t>
      </w:r>
      <w:r w:rsidRPr="001F7C0E">
        <w:rPr>
          <w:rStyle w:val="FootnoteReference"/>
          <w:color w:val="000000"/>
        </w:rPr>
        <w:footnoteReference w:id="33"/>
      </w:r>
      <w:r w:rsidRPr="001F7C0E">
        <w:rPr>
          <w:color w:val="000000"/>
        </w:rPr>
        <w:t xml:space="preserve"> It makes far more sense to invest resources in less expensive voluntary services than to create an entirely new and expensive system for a few individuals</w:t>
      </w:r>
      <w:r w:rsidR="00BC7847">
        <w:rPr>
          <w:color w:val="000000"/>
        </w:rPr>
        <w:t xml:space="preserve">. </w:t>
      </w:r>
    </w:p>
    <w:p w14:paraId="51236D9A" w14:textId="671C762F" w:rsidR="00BB3335" w:rsidRPr="001F7C0E" w:rsidRDefault="00BB3335" w:rsidP="00B8324B">
      <w:pPr>
        <w:pStyle w:val="CM14"/>
        <w:spacing w:after="375" w:line="276" w:lineRule="atLeast"/>
        <w:ind w:left="720" w:right="582" w:hanging="720"/>
        <w:rPr>
          <w:color w:val="000000"/>
        </w:rPr>
      </w:pPr>
      <w:r w:rsidRPr="001F7C0E">
        <w:rPr>
          <w:i/>
          <w:iCs/>
          <w:color w:val="000000"/>
        </w:rPr>
        <w:t xml:space="preserve">B. </w:t>
      </w:r>
      <w:r w:rsidRPr="001F7C0E">
        <w:rPr>
          <w:i/>
          <w:iCs/>
          <w:color w:val="000000"/>
        </w:rPr>
        <w:tab/>
      </w:r>
      <w:r w:rsidRPr="002D4EC6">
        <w:rPr>
          <w:rStyle w:val="Heading2Char"/>
        </w:rPr>
        <w:t>Massachusetts Has a Process for Court-Ordered Psychiatric Medication and Related Mental Health Treatment</w:t>
      </w:r>
      <w:r w:rsidR="00574539">
        <w:rPr>
          <w:rStyle w:val="Heading2Char"/>
        </w:rPr>
        <w:t>.</w:t>
      </w:r>
      <w:r w:rsidRPr="001F7C0E">
        <w:rPr>
          <w:i/>
          <w:iCs/>
          <w:color w:val="000000"/>
        </w:rPr>
        <w:t xml:space="preserve"> </w:t>
      </w:r>
    </w:p>
    <w:p w14:paraId="57309492" w14:textId="07579D77" w:rsidR="00BB3335" w:rsidRPr="001F7C0E" w:rsidRDefault="00BB3335" w:rsidP="00BB3335">
      <w:pPr>
        <w:pStyle w:val="CM14"/>
        <w:spacing w:after="375" w:line="276" w:lineRule="atLeast"/>
        <w:ind w:right="100" w:firstLine="720"/>
        <w:rPr>
          <w:color w:val="000000"/>
        </w:rPr>
      </w:pPr>
      <w:bookmarkStart w:id="1" w:name="_Hlk75441144"/>
      <w:r>
        <w:rPr>
          <w:color w:val="000000"/>
        </w:rPr>
        <w:t xml:space="preserve">As described in more detail below, </w:t>
      </w:r>
      <w:r w:rsidRPr="001F7C0E">
        <w:rPr>
          <w:color w:val="000000"/>
        </w:rPr>
        <w:t>Massachusetts already has a process, endorsed by the SJC, for community-based court-ordered medication</w:t>
      </w:r>
      <w:r w:rsidR="00BC7847">
        <w:rPr>
          <w:color w:val="000000"/>
        </w:rPr>
        <w:t xml:space="preserve">. </w:t>
      </w:r>
      <w:r w:rsidRPr="001F7C0E">
        <w:rPr>
          <w:color w:val="000000"/>
        </w:rPr>
        <w:t xml:space="preserve">The </w:t>
      </w:r>
      <w:r w:rsidRPr="00C14264">
        <w:rPr>
          <w:color w:val="000000"/>
        </w:rPr>
        <w:t>substituted judgment</w:t>
      </w:r>
      <w:r w:rsidRPr="001F7C0E">
        <w:rPr>
          <w:i/>
          <w:iCs/>
          <w:color w:val="000000"/>
        </w:rPr>
        <w:t xml:space="preserve"> </w:t>
      </w:r>
      <w:r w:rsidRPr="001F7C0E">
        <w:rPr>
          <w:color w:val="000000"/>
        </w:rPr>
        <w:t>guardianship process has been widely used to require individuals to take psychotropic drugs and other treatment when they have been deemed incompetent to make treatment decisions.</w:t>
      </w:r>
      <w:r w:rsidRPr="001F7C0E">
        <w:rPr>
          <w:rStyle w:val="FootnoteReference"/>
          <w:color w:val="000000"/>
        </w:rPr>
        <w:footnoteReference w:id="34"/>
      </w:r>
      <w:r w:rsidRPr="001F7C0E">
        <w:rPr>
          <w:color w:val="000000"/>
        </w:rPr>
        <w:t xml:space="preserve"> </w:t>
      </w:r>
    </w:p>
    <w:bookmarkEnd w:id="1"/>
    <w:p w14:paraId="7DC086E4" w14:textId="1F0D490C" w:rsidR="00BB3335" w:rsidRPr="001F7C0E" w:rsidRDefault="00BB3335" w:rsidP="00BB3335">
      <w:pPr>
        <w:pStyle w:val="CM14"/>
        <w:spacing w:after="375"/>
        <w:ind w:right="100" w:firstLine="720"/>
      </w:pPr>
      <w:r w:rsidRPr="001F7C0E">
        <w:rPr>
          <w:color w:val="000000"/>
        </w:rPr>
        <w:t xml:space="preserve">While advocates have expressed concerns about the </w:t>
      </w:r>
      <w:r w:rsidRPr="00E23C50">
        <w:rPr>
          <w:color w:val="000000"/>
        </w:rPr>
        <w:t>substituted judgment</w:t>
      </w:r>
      <w:r w:rsidRPr="001F7C0E">
        <w:rPr>
          <w:i/>
          <w:iCs/>
          <w:color w:val="000000"/>
        </w:rPr>
        <w:t xml:space="preserve"> </w:t>
      </w:r>
      <w:r w:rsidRPr="001F7C0E">
        <w:rPr>
          <w:color w:val="000000"/>
        </w:rPr>
        <w:t xml:space="preserve">guardianship </w:t>
      </w:r>
      <w:r w:rsidRPr="001F7C0E">
        <w:rPr>
          <w:color w:val="000000"/>
        </w:rPr>
        <w:lastRenderedPageBreak/>
        <w:t xml:space="preserve">process on the grounds that it results in too many guardianships and has a high rate of approval for the administration of potentially risky antipsychotic medication, there is no criticism of the </w:t>
      </w:r>
      <w:r w:rsidRPr="00E23C50">
        <w:rPr>
          <w:color w:val="000000"/>
        </w:rPr>
        <w:t>substituted judgment</w:t>
      </w:r>
      <w:r w:rsidRPr="001F7C0E">
        <w:rPr>
          <w:i/>
          <w:iCs/>
          <w:color w:val="000000"/>
        </w:rPr>
        <w:t xml:space="preserve"> </w:t>
      </w:r>
      <w:r w:rsidRPr="001F7C0E">
        <w:rPr>
          <w:color w:val="000000"/>
        </w:rPr>
        <w:t>process as being too rigorous or resulting in too few approvals of involuntary treatment orders for medication</w:t>
      </w:r>
      <w:r w:rsidR="005D0252">
        <w:rPr>
          <w:color w:val="000000"/>
        </w:rPr>
        <w:t>. There is</w:t>
      </w:r>
      <w:r w:rsidR="006C7699">
        <w:rPr>
          <w:color w:val="000000"/>
        </w:rPr>
        <w:t xml:space="preserve"> no reason to conclude </w:t>
      </w:r>
      <w:r w:rsidRPr="001F7C0E">
        <w:rPr>
          <w:color w:val="000000"/>
        </w:rPr>
        <w:t>that the system in our Commonwealth is not working or should be discarded</w:t>
      </w:r>
      <w:r w:rsidR="00BC7847">
        <w:rPr>
          <w:color w:val="000000"/>
        </w:rPr>
        <w:t xml:space="preserve">. </w:t>
      </w:r>
      <w:r w:rsidRPr="001F7C0E">
        <w:rPr>
          <w:color w:val="000000"/>
        </w:rPr>
        <w:t>Thus, the real question is whether involuntary outpatient commitment, given its cost, risk, and limited use, is necessary</w:t>
      </w:r>
      <w:r w:rsidR="00DD144B">
        <w:rPr>
          <w:color w:val="000000"/>
        </w:rPr>
        <w:t>,</w:t>
      </w:r>
      <w:r w:rsidRPr="001F7C0E">
        <w:rPr>
          <w:color w:val="000000"/>
        </w:rPr>
        <w:t xml:space="preserve"> is worth it</w:t>
      </w:r>
      <w:r w:rsidR="00DD144B">
        <w:rPr>
          <w:color w:val="000000"/>
        </w:rPr>
        <w:t>,</w:t>
      </w:r>
      <w:r w:rsidRPr="001F7C0E">
        <w:rPr>
          <w:color w:val="000000"/>
        </w:rPr>
        <w:t xml:space="preserve"> and will result in more effective care? In Massachusetts, where there is already a </w:t>
      </w:r>
      <w:r w:rsidRPr="001F7C0E">
        <w:rPr>
          <w:i/>
          <w:iCs/>
          <w:color w:val="000000"/>
        </w:rPr>
        <w:t xml:space="preserve">de facto </w:t>
      </w:r>
      <w:r w:rsidRPr="001F7C0E">
        <w:rPr>
          <w:color w:val="000000"/>
        </w:rPr>
        <w:t xml:space="preserve">system of involuntary outpatient commitment </w:t>
      </w:r>
      <w:r w:rsidR="00DD144B">
        <w:rPr>
          <w:color w:val="000000"/>
        </w:rPr>
        <w:t xml:space="preserve">-- </w:t>
      </w:r>
      <w:r w:rsidRPr="001F7C0E">
        <w:rPr>
          <w:color w:val="000000"/>
        </w:rPr>
        <w:t xml:space="preserve">the </w:t>
      </w:r>
      <w:r w:rsidRPr="00E23C50">
        <w:rPr>
          <w:color w:val="000000"/>
        </w:rPr>
        <w:t>substituted judgment</w:t>
      </w:r>
      <w:r w:rsidRPr="001F7C0E">
        <w:rPr>
          <w:i/>
          <w:iCs/>
          <w:color w:val="000000"/>
        </w:rPr>
        <w:t xml:space="preserve"> </w:t>
      </w:r>
      <w:r w:rsidRPr="001F7C0E">
        <w:rPr>
          <w:color w:val="000000"/>
        </w:rPr>
        <w:t>guardianship process</w:t>
      </w:r>
      <w:r w:rsidR="00FE5746">
        <w:rPr>
          <w:color w:val="000000"/>
        </w:rPr>
        <w:t xml:space="preserve"> --</w:t>
      </w:r>
      <w:r w:rsidRPr="001F7C0E">
        <w:rPr>
          <w:color w:val="000000"/>
        </w:rPr>
        <w:t xml:space="preserve"> the answer is no. </w:t>
      </w:r>
    </w:p>
    <w:p w14:paraId="09E8641E" w14:textId="20AAA033" w:rsidR="00BB3335" w:rsidRPr="001F7C0E" w:rsidRDefault="000A5CCD" w:rsidP="00BB3335">
      <w:pPr>
        <w:pStyle w:val="CM15"/>
        <w:spacing w:after="297"/>
        <w:ind w:left="647" w:hanging="648"/>
        <w:rPr>
          <w:color w:val="000000"/>
        </w:rPr>
      </w:pPr>
      <w:r>
        <w:rPr>
          <w:i/>
          <w:iCs/>
          <w:color w:val="000000"/>
        </w:rPr>
        <w:t xml:space="preserve">C. </w:t>
      </w:r>
      <w:r>
        <w:rPr>
          <w:i/>
          <w:iCs/>
          <w:color w:val="000000"/>
        </w:rPr>
        <w:tab/>
      </w:r>
      <w:r w:rsidR="00BB3335" w:rsidRPr="002D4EC6">
        <w:rPr>
          <w:rStyle w:val="Heading2Char"/>
        </w:rPr>
        <w:t xml:space="preserve">Many States with Involuntary Outpatient Commitment Do Not Regularly Use It </w:t>
      </w:r>
      <w:r w:rsidR="009D00E3">
        <w:rPr>
          <w:rStyle w:val="Heading2Char"/>
        </w:rPr>
        <w:t>and</w:t>
      </w:r>
      <w:r w:rsidR="00BB3335" w:rsidRPr="002D4EC6">
        <w:rPr>
          <w:rStyle w:val="Heading2Char"/>
        </w:rPr>
        <w:t xml:space="preserve"> </w:t>
      </w:r>
      <w:r w:rsidR="00B169EB">
        <w:rPr>
          <w:rStyle w:val="Heading2Char"/>
        </w:rPr>
        <w:t xml:space="preserve">the </w:t>
      </w:r>
      <w:r w:rsidR="00BB3335" w:rsidRPr="002D4EC6">
        <w:rPr>
          <w:rStyle w:val="Heading2Char"/>
        </w:rPr>
        <w:t>Massachusetts Pilots Experimenting with this Model Appear to Reject Coercion as Well</w:t>
      </w:r>
      <w:r w:rsidR="00574539">
        <w:rPr>
          <w:rStyle w:val="Heading2Char"/>
        </w:rPr>
        <w:t>.</w:t>
      </w:r>
      <w:r w:rsidR="00BB3335" w:rsidRPr="001F7C0E">
        <w:rPr>
          <w:i/>
          <w:iCs/>
          <w:color w:val="000000"/>
        </w:rPr>
        <w:t xml:space="preserve"> </w:t>
      </w:r>
    </w:p>
    <w:p w14:paraId="33558E8B" w14:textId="7DC2DBA3" w:rsidR="00BB3335" w:rsidRPr="001F7C0E" w:rsidRDefault="00BB3335" w:rsidP="00BB3335">
      <w:pPr>
        <w:pStyle w:val="CM15"/>
        <w:spacing w:after="297" w:line="276" w:lineRule="atLeast"/>
        <w:ind w:right="155" w:firstLine="720"/>
        <w:rPr>
          <w:color w:val="000000"/>
        </w:rPr>
      </w:pPr>
      <w:r w:rsidRPr="001F7C0E">
        <w:rPr>
          <w:color w:val="000000"/>
        </w:rPr>
        <w:t>Many states that have involuntary outpatient commitment do not regularly make use of it.</w:t>
      </w:r>
      <w:r w:rsidRPr="001F7C0E">
        <w:rPr>
          <w:rStyle w:val="FootnoteReference"/>
          <w:color w:val="000000"/>
        </w:rPr>
        <w:footnoteReference w:id="35"/>
      </w:r>
      <w:r w:rsidRPr="001F7C0E">
        <w:rPr>
          <w:color w:val="000000"/>
        </w:rPr>
        <w:t xml:space="preserve"> </w:t>
      </w:r>
      <w:r w:rsidRPr="6B3A19C0">
        <w:rPr>
          <w:color w:val="000000" w:themeColor="text1"/>
        </w:rPr>
        <w:t>S</w:t>
      </w:r>
      <w:r w:rsidRPr="001F7C0E">
        <w:rPr>
          <w:color w:val="000000"/>
        </w:rPr>
        <w:t>ome states with involuntary outpatient commitment use the process primarily for discharge planning purposes rather than an alternative to hospital-level care.</w:t>
      </w:r>
      <w:r w:rsidRPr="001F7C0E">
        <w:rPr>
          <w:rStyle w:val="FootnoteReference"/>
          <w:color w:val="000000"/>
        </w:rPr>
        <w:footnoteReference w:id="36"/>
      </w:r>
      <w:r w:rsidRPr="001F7C0E">
        <w:rPr>
          <w:color w:val="000000"/>
        </w:rPr>
        <w:t xml:space="preserve"> </w:t>
      </w:r>
      <w:r w:rsidRPr="6B3A19C0">
        <w:rPr>
          <w:color w:val="000000" w:themeColor="text1"/>
        </w:rPr>
        <w:t xml:space="preserve">Other states decline to use the mechanism due to </w:t>
      </w:r>
      <w:r w:rsidRPr="001F7C0E">
        <w:rPr>
          <w:color w:val="000000"/>
        </w:rPr>
        <w:t>provider concerns about liability</w:t>
      </w:r>
      <w:r w:rsidR="00BC7847">
        <w:rPr>
          <w:color w:val="000000"/>
        </w:rPr>
        <w:t xml:space="preserve">. </w:t>
      </w:r>
      <w:r w:rsidRPr="001F7C0E">
        <w:rPr>
          <w:color w:val="000000"/>
        </w:rPr>
        <w:t xml:space="preserve">The RAND Report found that in North Carolina, </w:t>
      </w:r>
      <w:r w:rsidRPr="6B3A19C0">
        <w:rPr>
          <w:color w:val="000000" w:themeColor="text1"/>
        </w:rPr>
        <w:t xml:space="preserve">for example, </w:t>
      </w:r>
      <w:r w:rsidRPr="001F7C0E">
        <w:rPr>
          <w:color w:val="000000"/>
        </w:rPr>
        <w:t>community mental health providers considered individuals under involuntary outpatient commitment to be high-risk and were reluctant to accept such individuals into their programs due to liability concerns.</w:t>
      </w:r>
      <w:r w:rsidRPr="001F7C0E">
        <w:rPr>
          <w:rStyle w:val="FootnoteReference"/>
          <w:color w:val="000000"/>
        </w:rPr>
        <w:footnoteReference w:id="37"/>
      </w:r>
      <w:r w:rsidRPr="001F7C0E">
        <w:rPr>
          <w:color w:val="000000"/>
        </w:rPr>
        <w:t xml:space="preserve"> The umbrella of risk created by involuntary outpatient commitment is broad and results in increased liability to clinicians and other providers for numerous issues ranging from treatment to safety</w:t>
      </w:r>
      <w:r w:rsidR="00BC7847">
        <w:rPr>
          <w:color w:val="000000"/>
        </w:rPr>
        <w:t xml:space="preserve">. </w:t>
      </w:r>
      <w:r w:rsidRPr="001F7C0E">
        <w:rPr>
          <w:color w:val="000000"/>
        </w:rPr>
        <w:t xml:space="preserve">The result, of course, is an increase in insurance costs, something many </w:t>
      </w:r>
      <w:proofErr w:type="gramStart"/>
      <w:r w:rsidRPr="001F7C0E">
        <w:rPr>
          <w:color w:val="000000"/>
        </w:rPr>
        <w:t>community</w:t>
      </w:r>
      <w:proofErr w:type="gramEnd"/>
      <w:r w:rsidRPr="001F7C0E">
        <w:rPr>
          <w:color w:val="000000"/>
        </w:rPr>
        <w:t xml:space="preserve"> mental health providers may </w:t>
      </w:r>
      <w:r w:rsidRPr="6B3A19C0">
        <w:rPr>
          <w:color w:val="000000" w:themeColor="text1"/>
        </w:rPr>
        <w:t xml:space="preserve">be </w:t>
      </w:r>
      <w:r w:rsidRPr="001F7C0E">
        <w:rPr>
          <w:color w:val="000000"/>
        </w:rPr>
        <w:t xml:space="preserve">unwilling or unable to assume. </w:t>
      </w:r>
    </w:p>
    <w:p w14:paraId="744A3473" w14:textId="0FB7A6A5" w:rsidR="00BB3335" w:rsidRPr="001F7C0E" w:rsidRDefault="00BB3335" w:rsidP="00BB3335">
      <w:pPr>
        <w:pStyle w:val="CM15"/>
        <w:spacing w:after="297"/>
        <w:ind w:left="-1" w:firstLine="721"/>
        <w:rPr>
          <w:vertAlign w:val="superscript"/>
        </w:rPr>
      </w:pPr>
      <w:r>
        <w:t>T</w:t>
      </w:r>
      <w:r w:rsidRPr="001F7C0E">
        <w:t xml:space="preserve">wo </w:t>
      </w:r>
      <w:r w:rsidR="003E0857">
        <w:t xml:space="preserve">pilot </w:t>
      </w:r>
      <w:r w:rsidRPr="001F7C0E">
        <w:t xml:space="preserve">programs </w:t>
      </w:r>
      <w:r w:rsidR="003E0857">
        <w:t xml:space="preserve">in Massachusetts </w:t>
      </w:r>
      <w:r w:rsidRPr="001F7C0E">
        <w:t xml:space="preserve">labeled as “assisted outpatient treatment” </w:t>
      </w:r>
      <w:r>
        <w:t>are sometimes cited as evidence of the outpatient commitment’s success</w:t>
      </w:r>
      <w:r w:rsidR="00BC7847">
        <w:t xml:space="preserve">. </w:t>
      </w:r>
      <w:r w:rsidRPr="001F7C0E">
        <w:t xml:space="preserve">The first is an “Enhanced Outpatient Treatment Pilot” (formerly known as the “Assisted Outpatient Treatment Pilot”), financed under an outside section of the </w:t>
      </w:r>
      <w:proofErr w:type="gramStart"/>
      <w:r w:rsidRPr="001F7C0E">
        <w:t>budget</w:t>
      </w:r>
      <w:proofErr w:type="gramEnd"/>
      <w:r w:rsidRPr="001F7C0E">
        <w:t xml:space="preserve"> and administered by Elliot Community Human Services since at least 2015</w:t>
      </w:r>
      <w:r w:rsidR="00BC7847">
        <w:t xml:space="preserve">. </w:t>
      </w:r>
      <w:r w:rsidRPr="001F7C0E">
        <w:t xml:space="preserve">To our knowledge, this </w:t>
      </w:r>
      <w:r>
        <w:t xml:space="preserve">entirely voluntary </w:t>
      </w:r>
      <w:r w:rsidRPr="001F7C0E">
        <w:t>program has never involuntarily hospitalized its participants merely for not complying with a community treatment or service plan</w:t>
      </w:r>
      <w:r w:rsidR="00BC7847">
        <w:t xml:space="preserve">. </w:t>
      </w:r>
      <w:r w:rsidRPr="001F7C0E">
        <w:t xml:space="preserve">On the contrary, each of the </w:t>
      </w:r>
      <w:r>
        <w:t xml:space="preserve">program’s </w:t>
      </w:r>
      <w:r w:rsidRPr="001F7C0E">
        <w:t>annual reports note that “Engagement is the core strategy to deliver services...”</w:t>
      </w:r>
      <w:r w:rsidRPr="001F7C0E">
        <w:rPr>
          <w:rStyle w:val="FootnoteReference"/>
        </w:rPr>
        <w:footnoteReference w:id="38"/>
      </w:r>
      <w:r w:rsidRPr="001F7C0E">
        <w:t xml:space="preserve"> </w:t>
      </w:r>
      <w:r>
        <w:t xml:space="preserve">In other words, it is engagement with the individual, not coercion, that works. </w:t>
      </w:r>
    </w:p>
    <w:p w14:paraId="5DCB0454" w14:textId="4FBC25D9" w:rsidR="00BB3335" w:rsidRPr="001F7C0E" w:rsidRDefault="00BB3335" w:rsidP="00BB3335">
      <w:pPr>
        <w:pStyle w:val="FootnoteText"/>
        <w:ind w:firstLine="720"/>
        <w:rPr>
          <w:sz w:val="24"/>
          <w:szCs w:val="24"/>
        </w:rPr>
      </w:pPr>
      <w:r w:rsidRPr="001F7C0E">
        <w:rPr>
          <w:sz w:val="24"/>
          <w:szCs w:val="24"/>
        </w:rPr>
        <w:t xml:space="preserve">The second is a program developed by Boston Medical Center and the Boston Municipal Court, with federal funding from </w:t>
      </w:r>
      <w:r w:rsidR="00A93FE0">
        <w:rPr>
          <w:sz w:val="24"/>
          <w:szCs w:val="24"/>
        </w:rPr>
        <w:t xml:space="preserve">the </w:t>
      </w:r>
      <w:r w:rsidRPr="001F7C0E">
        <w:rPr>
          <w:sz w:val="24"/>
          <w:szCs w:val="24"/>
        </w:rPr>
        <w:t>S</w:t>
      </w:r>
      <w:r w:rsidR="00A93FE0">
        <w:rPr>
          <w:sz w:val="24"/>
          <w:szCs w:val="24"/>
        </w:rPr>
        <w:t>ubstance Abuse and Mental Health Services Administration (S</w:t>
      </w:r>
      <w:r w:rsidRPr="001F7C0E">
        <w:rPr>
          <w:sz w:val="24"/>
          <w:szCs w:val="24"/>
        </w:rPr>
        <w:t>AMHSA</w:t>
      </w:r>
      <w:r w:rsidR="00A93FE0">
        <w:rPr>
          <w:sz w:val="24"/>
          <w:szCs w:val="24"/>
        </w:rPr>
        <w:t>)</w:t>
      </w:r>
      <w:r w:rsidRPr="001F7C0E">
        <w:rPr>
          <w:sz w:val="24"/>
          <w:szCs w:val="24"/>
        </w:rPr>
        <w:t xml:space="preserve">, called “Boston Outpatient Assisted Treatment Program” or BOAT. </w:t>
      </w:r>
      <w:r w:rsidRPr="6B3A19C0">
        <w:rPr>
          <w:sz w:val="24"/>
          <w:szCs w:val="24"/>
        </w:rPr>
        <w:t>BOAT</w:t>
      </w:r>
      <w:r w:rsidRPr="001F7C0E">
        <w:rPr>
          <w:sz w:val="24"/>
          <w:szCs w:val="24"/>
        </w:rPr>
        <w:t xml:space="preserve"> is involuntary outpatient commitment in name only</w:t>
      </w:r>
      <w:r>
        <w:rPr>
          <w:sz w:val="24"/>
          <w:szCs w:val="24"/>
        </w:rPr>
        <w:t xml:space="preserve">. </w:t>
      </w:r>
      <w:r w:rsidR="003E0857">
        <w:rPr>
          <w:sz w:val="24"/>
          <w:szCs w:val="24"/>
        </w:rPr>
        <w:t xml:space="preserve">It is limited to people with criminal </w:t>
      </w:r>
      <w:r w:rsidR="003E0857">
        <w:rPr>
          <w:sz w:val="24"/>
          <w:szCs w:val="24"/>
        </w:rPr>
        <w:lastRenderedPageBreak/>
        <w:t>justice involvement and is used as a disposition alternative</w:t>
      </w:r>
      <w:r w:rsidR="00BC7847">
        <w:rPr>
          <w:sz w:val="24"/>
          <w:szCs w:val="24"/>
        </w:rPr>
        <w:t xml:space="preserve">. </w:t>
      </w:r>
      <w:r w:rsidR="003E0857">
        <w:rPr>
          <w:sz w:val="24"/>
          <w:szCs w:val="24"/>
        </w:rPr>
        <w:t>I</w:t>
      </w:r>
      <w:r>
        <w:rPr>
          <w:sz w:val="24"/>
          <w:szCs w:val="24"/>
        </w:rPr>
        <w:t xml:space="preserve">t </w:t>
      </w:r>
      <w:r w:rsidRPr="001F7C0E">
        <w:rPr>
          <w:sz w:val="24"/>
          <w:szCs w:val="24"/>
        </w:rPr>
        <w:t xml:space="preserve">is </w:t>
      </w:r>
      <w:proofErr w:type="gramStart"/>
      <w:r w:rsidRPr="001F7C0E">
        <w:rPr>
          <w:sz w:val="24"/>
          <w:szCs w:val="24"/>
        </w:rPr>
        <w:t>actually an</w:t>
      </w:r>
      <w:proofErr w:type="gramEnd"/>
      <w:r w:rsidRPr="001F7C0E">
        <w:rPr>
          <w:sz w:val="24"/>
          <w:szCs w:val="24"/>
        </w:rPr>
        <w:t xml:space="preserve"> extension of mental health services provided by Boston’s Mental Health Courts.</w:t>
      </w:r>
      <w:r w:rsidRPr="001F7C0E">
        <w:rPr>
          <w:rStyle w:val="FootnoteReference"/>
          <w:sz w:val="24"/>
          <w:szCs w:val="24"/>
        </w:rPr>
        <w:footnoteReference w:id="39"/>
      </w:r>
      <w:r>
        <w:rPr>
          <w:i/>
          <w:iCs/>
          <w:sz w:val="24"/>
          <w:szCs w:val="24"/>
        </w:rPr>
        <w:t xml:space="preserve"> </w:t>
      </w:r>
      <w:r w:rsidRPr="001F7C0E">
        <w:rPr>
          <w:sz w:val="24"/>
          <w:szCs w:val="24"/>
        </w:rPr>
        <w:t xml:space="preserve">Participants may </w:t>
      </w:r>
      <w:r w:rsidRPr="00290C85">
        <w:rPr>
          <w:i/>
          <w:iCs/>
          <w:sz w:val="24"/>
          <w:szCs w:val="24"/>
        </w:rPr>
        <w:t>choose</w:t>
      </w:r>
      <w:r w:rsidRPr="001F7C0E">
        <w:rPr>
          <w:sz w:val="24"/>
          <w:szCs w:val="24"/>
        </w:rPr>
        <w:t xml:space="preserve"> to enroll in BOAT as part of their </w:t>
      </w:r>
      <w:r>
        <w:rPr>
          <w:sz w:val="24"/>
          <w:szCs w:val="24"/>
        </w:rPr>
        <w:t xml:space="preserve">criminal </w:t>
      </w:r>
      <w:r w:rsidRPr="001F7C0E">
        <w:rPr>
          <w:sz w:val="24"/>
          <w:szCs w:val="24"/>
        </w:rPr>
        <w:t>probation if they have a criminal case in Boston Municipal Court</w:t>
      </w:r>
      <w:r>
        <w:rPr>
          <w:sz w:val="24"/>
          <w:szCs w:val="24"/>
        </w:rPr>
        <w:t>.</w:t>
      </w:r>
      <w:r w:rsidRPr="001F7C0E">
        <w:rPr>
          <w:rStyle w:val="FootnoteReference"/>
          <w:sz w:val="24"/>
          <w:szCs w:val="24"/>
        </w:rPr>
        <w:footnoteReference w:id="40"/>
      </w:r>
      <w:r w:rsidRPr="001F7C0E">
        <w:rPr>
          <w:sz w:val="24"/>
          <w:szCs w:val="24"/>
        </w:rPr>
        <w:t xml:space="preserve"> </w:t>
      </w:r>
    </w:p>
    <w:p w14:paraId="507201BA" w14:textId="77777777" w:rsidR="00BB3335" w:rsidRPr="001F7C0E" w:rsidRDefault="00BB3335" w:rsidP="00BB3335">
      <w:pPr>
        <w:pStyle w:val="Default"/>
      </w:pPr>
    </w:p>
    <w:p w14:paraId="40B91609" w14:textId="214603B2" w:rsidR="00BB3335" w:rsidRPr="001F7C0E" w:rsidRDefault="002D4EC6" w:rsidP="00B8324B">
      <w:pPr>
        <w:pStyle w:val="Heading2"/>
        <w:ind w:left="720" w:hanging="720"/>
      </w:pPr>
      <w:r>
        <w:t>D</w:t>
      </w:r>
      <w:r w:rsidR="00BB3335" w:rsidRPr="001F7C0E">
        <w:t xml:space="preserve">. </w:t>
      </w:r>
      <w:r w:rsidR="003E0857">
        <w:tab/>
      </w:r>
      <w:r w:rsidR="00BB3335" w:rsidRPr="001F7C0E">
        <w:t>Involuntary Outpatient Commitment Is Often Rooted in the Misconception that Individuals with Mental Illness are Inherently Dangerous</w:t>
      </w:r>
      <w:r w:rsidR="00C573E3">
        <w:t>.</w:t>
      </w:r>
    </w:p>
    <w:p w14:paraId="178F2C77" w14:textId="77777777" w:rsidR="00BB3335" w:rsidRPr="001F7C0E" w:rsidRDefault="00BB3335" w:rsidP="00BB3335">
      <w:pPr>
        <w:pStyle w:val="CM16"/>
        <w:spacing w:after="240" w:line="276" w:lineRule="atLeast"/>
        <w:ind w:right="100" w:firstLine="720"/>
        <w:rPr>
          <w:color w:val="000000"/>
        </w:rPr>
      </w:pPr>
      <w:r w:rsidRPr="001F7C0E">
        <w:rPr>
          <w:color w:val="000000"/>
        </w:rPr>
        <w:t>In some states, such as New York, involuntary outpatient commitment has been adopted primarily, or at least in large part, because of a perceived need to prevent violence perpetrated by individuals with mental illness.</w:t>
      </w:r>
      <w:r w:rsidRPr="001F7C0E">
        <w:rPr>
          <w:rStyle w:val="FootnoteReference"/>
          <w:color w:val="000000"/>
        </w:rPr>
        <w:footnoteReference w:id="41"/>
      </w:r>
      <w:r w:rsidRPr="001F7C0E">
        <w:rPr>
          <w:color w:val="000000"/>
        </w:rPr>
        <w:t xml:space="preserve"> </w:t>
      </w:r>
    </w:p>
    <w:p w14:paraId="6AA998DC" w14:textId="2C4475A3" w:rsidR="00BB3335" w:rsidRPr="001F7C0E" w:rsidRDefault="00BB3335" w:rsidP="00BB3335">
      <w:pPr>
        <w:ind w:firstLine="720"/>
      </w:pPr>
      <w:r w:rsidRPr="001F7C0E">
        <w:t xml:space="preserve">The willingness to default to coercion </w:t>
      </w:r>
      <w:r>
        <w:t xml:space="preserve">in the provision of services to individuals with mental health issues </w:t>
      </w:r>
      <w:r w:rsidRPr="001F7C0E">
        <w:t xml:space="preserve">is rooted in a misconception that </w:t>
      </w:r>
      <w:r>
        <w:t>such persons</w:t>
      </w:r>
      <w:r w:rsidRPr="001F7C0E">
        <w:t xml:space="preserve"> are inherently dangerous.</w:t>
      </w:r>
      <w:r w:rsidRPr="001F7C0E">
        <w:rPr>
          <w:rStyle w:val="FootnoteReference"/>
        </w:rPr>
        <w:footnoteReference w:id="42"/>
      </w:r>
      <w:r w:rsidRPr="001F7C0E">
        <w:t xml:space="preserve"> This belief reflects a fundamental misunderstanding of mental health</w:t>
      </w:r>
      <w:r w:rsidR="00BC7847">
        <w:t xml:space="preserve">. </w:t>
      </w:r>
      <w:r>
        <w:t>An i</w:t>
      </w:r>
      <w:r w:rsidRPr="001F7C0E">
        <w:t>ndividual living with a</w:t>
      </w:r>
      <w:r w:rsidR="0080073F">
        <w:t xml:space="preserve"> </w:t>
      </w:r>
      <w:r w:rsidRPr="001F7C0E">
        <w:t xml:space="preserve">mental </w:t>
      </w:r>
      <w:r>
        <w:t xml:space="preserve">health condition may be affected in a range of ways from that condition, but </w:t>
      </w:r>
      <w:r w:rsidRPr="001F7C0E">
        <w:t>violence</w:t>
      </w:r>
      <w:r w:rsidR="003A7A29">
        <w:t xml:space="preserve"> is rarely</w:t>
      </w:r>
      <w:r w:rsidRPr="001F7C0E">
        <w:t xml:space="preserve"> among these symptoms</w:t>
      </w:r>
      <w:r w:rsidR="00BC7847">
        <w:t xml:space="preserve">. </w:t>
      </w:r>
      <w:r w:rsidRPr="001F7C0E">
        <w:t xml:space="preserve">In fact, people with mental illness are five times more likely to be the victim of violence than a person without </w:t>
      </w:r>
      <w:r>
        <w:t xml:space="preserve">a </w:t>
      </w:r>
      <w:r w:rsidRPr="001F7C0E">
        <w:t>mental illness</w:t>
      </w:r>
      <w:r w:rsidR="00BC7847">
        <w:t xml:space="preserve">. </w:t>
      </w:r>
      <w:r w:rsidRPr="001F7C0E">
        <w:t>Moreover, only 3 to 5.3</w:t>
      </w:r>
      <w:r>
        <w:t xml:space="preserve">% </w:t>
      </w:r>
      <w:r w:rsidRPr="001F7C0E">
        <w:t>of violent crime is attributable to a person with a mental illness.</w:t>
      </w:r>
      <w:r w:rsidRPr="001F7C0E">
        <w:rPr>
          <w:rStyle w:val="FootnoteReference"/>
        </w:rPr>
        <w:footnoteReference w:id="43"/>
      </w:r>
      <w:r w:rsidRPr="001F7C0E">
        <w:t xml:space="preserve"> </w:t>
      </w:r>
    </w:p>
    <w:p w14:paraId="075A22A4" w14:textId="38528609" w:rsidR="00BB3335" w:rsidRPr="001F7C0E" w:rsidRDefault="00BB3335" w:rsidP="00BB3335">
      <w:pPr>
        <w:ind w:firstLine="720"/>
      </w:pPr>
      <w:r w:rsidRPr="001F7C0E">
        <w:t>Some proponents of involuntary outpatient commitment point to violent tragedies in support of their policy advocacy.</w:t>
      </w:r>
      <w:r w:rsidRPr="001F7C0E">
        <w:rPr>
          <w:rStyle w:val="FootnoteReference"/>
        </w:rPr>
        <w:footnoteReference w:id="44"/>
      </w:r>
      <w:r w:rsidRPr="001F7C0E">
        <w:t xml:space="preserve"> However, there is no evidence that involuntary outpatient </w:t>
      </w:r>
      <w:r w:rsidRPr="001F7C0E">
        <w:lastRenderedPageBreak/>
        <w:t xml:space="preserve">commitment makes </w:t>
      </w:r>
      <w:r>
        <w:t xml:space="preserve">incidents of </w:t>
      </w:r>
      <w:r w:rsidRPr="001F7C0E">
        <w:t>extreme violen</w:t>
      </w:r>
      <w:r>
        <w:t>ce</w:t>
      </w:r>
      <w:r w:rsidRPr="001F7C0E">
        <w:t xml:space="preserve"> less likely. </w:t>
      </w:r>
      <w:r>
        <w:t>Swartz and his colleagues, reviewing the empirical evidence for using involuntary outpatient commitment for violence prevention</w:t>
      </w:r>
      <w:r w:rsidR="00636554">
        <w:t>,</w:t>
      </w:r>
      <w:r>
        <w:t xml:space="preserve"> concluded that “[d]</w:t>
      </w:r>
      <w:proofErr w:type="spellStart"/>
      <w:r w:rsidRPr="00800F72">
        <w:rPr>
          <w:color w:val="212121"/>
        </w:rPr>
        <w:t>espite</w:t>
      </w:r>
      <w:proofErr w:type="spellEnd"/>
      <w:r w:rsidRPr="00800F72">
        <w:rPr>
          <w:color w:val="212121"/>
        </w:rPr>
        <w:t xml:space="preserve"> the current interest in OPC </w:t>
      </w:r>
      <w:proofErr w:type="gramStart"/>
      <w:r w:rsidRPr="00800F72">
        <w:rPr>
          <w:color w:val="212121"/>
        </w:rPr>
        <w:t>as a means to</w:t>
      </w:r>
      <w:proofErr w:type="gramEnd"/>
      <w:r w:rsidRPr="00800F72">
        <w:rPr>
          <w:color w:val="212121"/>
        </w:rPr>
        <w:t xml:space="preserve"> reduce violence, rigorous empirical evidence to employ it on that basis is slim.</w:t>
      </w:r>
      <w:r>
        <w:t xml:space="preserve"> … </w:t>
      </w:r>
      <w:r w:rsidRPr="00800F72">
        <w:rPr>
          <w:color w:val="212121"/>
        </w:rPr>
        <w:t>the paucity of empirical evidence is marked if the goal is reduction of larger scale acts of extreme violence.</w:t>
      </w:r>
      <w:r>
        <w:t>”</w:t>
      </w:r>
      <w:r w:rsidRPr="001F7C0E">
        <w:rPr>
          <w:rStyle w:val="FootnoteReference"/>
        </w:rPr>
        <w:footnoteReference w:id="45"/>
      </w:r>
      <w:r>
        <w:t xml:space="preserve"> </w:t>
      </w:r>
    </w:p>
    <w:p w14:paraId="27EFA494" w14:textId="7703D8D3" w:rsidR="00BB3335" w:rsidRPr="001F7C0E" w:rsidRDefault="002D4EC6" w:rsidP="00932AAD">
      <w:pPr>
        <w:pStyle w:val="Heading2"/>
        <w:ind w:left="720" w:hanging="720"/>
      </w:pPr>
      <w:r>
        <w:t>E</w:t>
      </w:r>
      <w:r w:rsidR="00BB3335" w:rsidRPr="001F7C0E">
        <w:t xml:space="preserve">. </w:t>
      </w:r>
      <w:r w:rsidR="003E0857">
        <w:tab/>
      </w:r>
      <w:r w:rsidR="00A93FE0">
        <w:t xml:space="preserve">Recent Critical </w:t>
      </w:r>
      <w:r w:rsidR="00BB3335">
        <w:t>R</w:t>
      </w:r>
      <w:r w:rsidR="00BB3335" w:rsidRPr="001F7C0E">
        <w:t xml:space="preserve">eform of the </w:t>
      </w:r>
      <w:r w:rsidR="00BB3335">
        <w:t>B</w:t>
      </w:r>
      <w:r w:rsidR="00BB3335" w:rsidRPr="001F7C0E">
        <w:t xml:space="preserve">ehavioral </w:t>
      </w:r>
      <w:r w:rsidR="00BB3335">
        <w:t>H</w:t>
      </w:r>
      <w:r w:rsidR="00BB3335" w:rsidRPr="001F7C0E">
        <w:t xml:space="preserve">ealth </w:t>
      </w:r>
      <w:r w:rsidR="00BB3335">
        <w:t>C</w:t>
      </w:r>
      <w:r w:rsidR="00BB3335" w:rsidRPr="001F7C0E">
        <w:t xml:space="preserve">are </w:t>
      </w:r>
      <w:r w:rsidR="00BB3335">
        <w:t>S</w:t>
      </w:r>
      <w:r w:rsidR="00BB3335" w:rsidRPr="001F7C0E">
        <w:t>ystem</w:t>
      </w:r>
      <w:r w:rsidR="003E0857">
        <w:t xml:space="preserve"> --</w:t>
      </w:r>
      <w:r w:rsidR="00BB3335" w:rsidRPr="001F7C0E">
        <w:t xml:space="preserve"> the Roadmap for Behavioral Health Reform</w:t>
      </w:r>
      <w:r w:rsidR="003E0857">
        <w:t xml:space="preserve"> --</w:t>
      </w:r>
      <w:r w:rsidR="00A93FE0">
        <w:t xml:space="preserve"> </w:t>
      </w:r>
      <w:r w:rsidR="003E0857">
        <w:t>W</w:t>
      </w:r>
      <w:r w:rsidR="00F270A4">
        <w:t>ould</w:t>
      </w:r>
      <w:r w:rsidR="00A93FE0">
        <w:t xml:space="preserve"> be Undermined by</w:t>
      </w:r>
      <w:r w:rsidR="00AF0358">
        <w:t xml:space="preserve"> Involuntary</w:t>
      </w:r>
      <w:r w:rsidR="00F270A4">
        <w:t xml:space="preserve"> </w:t>
      </w:r>
      <w:r w:rsidR="00A93FE0">
        <w:t>Outpat</w:t>
      </w:r>
      <w:r w:rsidR="00F270A4">
        <w:t>ient Commitment</w:t>
      </w:r>
      <w:r w:rsidR="00BC7847">
        <w:t xml:space="preserve">. </w:t>
      </w:r>
    </w:p>
    <w:p w14:paraId="2F8981AE" w14:textId="4E69A8D0" w:rsidR="00BB3335" w:rsidRDefault="00BB3335" w:rsidP="00BB3335">
      <w:pPr>
        <w:ind w:firstLine="720"/>
      </w:pPr>
      <w:r>
        <w:t>The Commonwealth</w:t>
      </w:r>
      <w:r w:rsidRPr="001F7C0E">
        <w:t xml:space="preserve"> recently </w:t>
      </w:r>
      <w:r>
        <w:t xml:space="preserve">implemented </w:t>
      </w:r>
      <w:r w:rsidRPr="001F7C0E">
        <w:t xml:space="preserve">a comprehensive initiative to address systemic deficiencies in the Massachusetts </w:t>
      </w:r>
      <w:r>
        <w:t xml:space="preserve">behavioral </w:t>
      </w:r>
      <w:r w:rsidRPr="001F7C0E">
        <w:t>health system</w:t>
      </w:r>
      <w:r w:rsidR="00BC7847">
        <w:t xml:space="preserve">. </w:t>
      </w:r>
      <w:r>
        <w:t>That reform effort,</w:t>
      </w:r>
      <w:r w:rsidR="0080073F">
        <w:t xml:space="preserve"> </w:t>
      </w:r>
      <w:r>
        <w:t xml:space="preserve">the Roadmap for Behavioral Health Reform, </w:t>
      </w:r>
      <w:r w:rsidRPr="00800F72">
        <w:t>does not</w:t>
      </w:r>
      <w:r w:rsidRPr="001F7C0E">
        <w:t xml:space="preserve"> include involuntary outpatient commitment</w:t>
      </w:r>
      <w:r w:rsidR="00F10B1E">
        <w:t>.</w:t>
      </w:r>
    </w:p>
    <w:p w14:paraId="4940C7BA" w14:textId="6DF526AF" w:rsidR="00BB3335" w:rsidRDefault="00BB3335" w:rsidP="00BB3335">
      <w:pPr>
        <w:ind w:firstLine="720"/>
      </w:pPr>
      <w:r w:rsidRPr="001F7C0E">
        <w:t xml:space="preserve">The </w:t>
      </w:r>
      <w:proofErr w:type="gramStart"/>
      <w:r w:rsidRPr="001F7C0E">
        <w:t>Roadmap</w:t>
      </w:r>
      <w:proofErr w:type="gramEnd"/>
      <w:r w:rsidRPr="001F7C0E">
        <w:t xml:space="preserve"> was developed with substantial community input</w:t>
      </w:r>
      <w:r w:rsidR="000B7C10">
        <w:t>. T</w:t>
      </w:r>
      <w:r>
        <w:t>he</w:t>
      </w:r>
      <w:r w:rsidRPr="001F7C0E">
        <w:t xml:space="preserve"> Executive Office of Health and Human Services </w:t>
      </w:r>
      <w:r>
        <w:t xml:space="preserve">(EOHHS) </w:t>
      </w:r>
      <w:r w:rsidRPr="001F7C0E">
        <w:t xml:space="preserve">conducted a comprehensive review of community needs based on listening sessions and feedback from almost </w:t>
      </w:r>
      <w:r w:rsidR="009E5C00">
        <w:t>seven hundred</w:t>
      </w:r>
      <w:r w:rsidRPr="001F7C0E">
        <w:t xml:space="preserve"> individuals, families, providers, and stakeholders.</w:t>
      </w:r>
      <w:r w:rsidRPr="001F7C0E">
        <w:rPr>
          <w:rStyle w:val="FootnoteReference"/>
        </w:rPr>
        <w:footnoteReference w:id="46"/>
      </w:r>
      <w:r w:rsidRPr="001F7C0E">
        <w:t xml:space="preserve"> </w:t>
      </w:r>
      <w:r w:rsidR="00861600">
        <w:t>A call for i</w:t>
      </w:r>
      <w:r w:rsidR="00861600" w:rsidRPr="00861600">
        <w:t xml:space="preserve">nvoluntary treatment </w:t>
      </w:r>
      <w:r w:rsidR="00861600">
        <w:t>did not emerge from this extensive polling</w:t>
      </w:r>
      <w:r w:rsidR="00861600" w:rsidRPr="00861600">
        <w:t xml:space="preserve"> and had no place in the</w:t>
      </w:r>
      <w:r w:rsidR="00861600">
        <w:t xml:space="preserve"> resulting </w:t>
      </w:r>
      <w:r w:rsidR="00861600" w:rsidRPr="00861600">
        <w:t xml:space="preserve">reforms. </w:t>
      </w:r>
      <w:r w:rsidR="00861600">
        <w:t xml:space="preserve">Rather, </w:t>
      </w:r>
      <w:r w:rsidRPr="001F7C0E">
        <w:t xml:space="preserve">the </w:t>
      </w:r>
      <w:r w:rsidR="00861600">
        <w:t>Roadmap la</w:t>
      </w:r>
      <w:r w:rsidRPr="001F7C0E">
        <w:t>rgely focus</w:t>
      </w:r>
      <w:r w:rsidR="00861600">
        <w:t>es</w:t>
      </w:r>
      <w:r w:rsidRPr="001F7C0E">
        <w:t xml:space="preserve"> on </w:t>
      </w:r>
      <w:r w:rsidR="00C274FE">
        <w:t xml:space="preserve">creating new and </w:t>
      </w:r>
      <w:r w:rsidRPr="001F7C0E">
        <w:t xml:space="preserve">expanding </w:t>
      </w:r>
      <w:r w:rsidR="00C274FE">
        <w:t xml:space="preserve">existing </w:t>
      </w:r>
      <w:r w:rsidRPr="001F7C0E">
        <w:t xml:space="preserve">community </w:t>
      </w:r>
      <w:r>
        <w:t xml:space="preserve">behavioral </w:t>
      </w:r>
      <w:r w:rsidRPr="001F7C0E">
        <w:t>health treatment options that promote choice, dignity, independence</w:t>
      </w:r>
      <w:r w:rsidR="00861600">
        <w:t>,</w:t>
      </w:r>
      <w:r w:rsidRPr="001F7C0E">
        <w:t xml:space="preserve"> and </w:t>
      </w:r>
      <w:r w:rsidR="00861600">
        <w:t>voluntary acceptance of services from a wider array of choices</w:t>
      </w:r>
      <w:r w:rsidRPr="001F7C0E">
        <w:t>.</w:t>
      </w:r>
      <w:r w:rsidRPr="001F7C0E">
        <w:rPr>
          <w:rStyle w:val="FootnoteReference"/>
        </w:rPr>
        <w:footnoteReference w:id="47"/>
      </w:r>
      <w:r w:rsidRPr="001F7C0E">
        <w:t xml:space="preserve"> </w:t>
      </w:r>
      <w:r>
        <w:t>The Roadmap also makes extensive investment in the use of peers to provide support for those seeking mental health and substance use treatment services</w:t>
      </w:r>
      <w:r w:rsidR="000B7C10">
        <w:t xml:space="preserve">, </w:t>
      </w:r>
      <w:r w:rsidR="00861600">
        <w:t xml:space="preserve">employing </w:t>
      </w:r>
      <w:r>
        <w:t>peers as Recovery Coaches, Certified Peer Specialists, and as administrators and staff at peer-run respite programs.</w:t>
      </w:r>
      <w:r>
        <w:rPr>
          <w:rStyle w:val="FootnoteReference"/>
        </w:rPr>
        <w:footnoteReference w:id="48"/>
      </w:r>
      <w:r>
        <w:t xml:space="preserve"> The Roadmap’s endorsement of voluntary and peer-led services reflects </w:t>
      </w:r>
      <w:r w:rsidR="00861600">
        <w:t xml:space="preserve">a conscious decision to adopt the strategy favored by both </w:t>
      </w:r>
      <w:r>
        <w:t>providers and those seeking treatment</w:t>
      </w:r>
      <w:r w:rsidR="00861600">
        <w:t xml:space="preserve"> </w:t>
      </w:r>
      <w:r w:rsidR="00E35CC6">
        <w:t xml:space="preserve">– </w:t>
      </w:r>
      <w:r w:rsidR="00861600">
        <w:t>to pro</w:t>
      </w:r>
      <w:r w:rsidR="00E35CC6">
        <w:t>vide</w:t>
      </w:r>
      <w:r w:rsidR="00861600">
        <w:t xml:space="preserve"> access to services that will</w:t>
      </w:r>
      <w:r w:rsidR="00E35CC6">
        <w:t xml:space="preserve"> </w:t>
      </w:r>
      <w:r w:rsidRPr="001F7C0E">
        <w:t>“</w:t>
      </w:r>
      <w:proofErr w:type="spellStart"/>
      <w:r w:rsidRPr="001F7C0E">
        <w:t>ensur</w:t>
      </w:r>
      <w:proofErr w:type="spellEnd"/>
      <w:r w:rsidRPr="001F7C0E">
        <w:t>[e] the right treatment when and where people need it</w:t>
      </w:r>
      <w:r>
        <w:t>.</w:t>
      </w:r>
      <w:r w:rsidRPr="001F7C0E">
        <w:t xml:space="preserve">” </w:t>
      </w:r>
    </w:p>
    <w:p w14:paraId="553B0A67" w14:textId="237A539E" w:rsidR="00BB3335" w:rsidRPr="001F7C0E" w:rsidRDefault="00BB3335" w:rsidP="00BB3335">
      <w:pPr>
        <w:ind w:firstLine="720"/>
      </w:pPr>
      <w:r>
        <w:t>N</w:t>
      </w:r>
      <w:r w:rsidRPr="00DF2D17">
        <w:t>owhere</w:t>
      </w:r>
      <w:r w:rsidRPr="001F7C0E">
        <w:t xml:space="preserve"> in the entire Roadmap does </w:t>
      </w:r>
      <w:r>
        <w:t>EOHHS</w:t>
      </w:r>
      <w:r w:rsidRPr="001F7C0E">
        <w:t xml:space="preserve"> propose that the Commonwealth consider using involuntary outpatient commitment </w:t>
      </w:r>
      <w:r>
        <w:t>as a reform strategy</w:t>
      </w:r>
      <w:r w:rsidR="00BC7847">
        <w:t xml:space="preserve">. </w:t>
      </w:r>
      <w:r>
        <w:t>Former Secretary</w:t>
      </w:r>
      <w:r w:rsidRPr="001F7C0E">
        <w:t xml:space="preserve"> </w:t>
      </w:r>
      <w:r>
        <w:t xml:space="preserve">Marylou </w:t>
      </w:r>
      <w:r w:rsidRPr="001F7C0E">
        <w:t>Sudders</w:t>
      </w:r>
      <w:r>
        <w:t>, who</w:t>
      </w:r>
      <w:r w:rsidR="00E35CC6">
        <w:t xml:space="preserve">se long history in mental health services administration spans many years and multiple </w:t>
      </w:r>
      <w:r w:rsidR="00B75C4D">
        <w:t>g</w:t>
      </w:r>
      <w:r w:rsidR="00E35CC6">
        <w:t>overnorships, is the person most responsible for</w:t>
      </w:r>
      <w:r>
        <w:t xml:space="preserve"> shepherd</w:t>
      </w:r>
      <w:r w:rsidR="00E35CC6">
        <w:t xml:space="preserve">ing </w:t>
      </w:r>
      <w:r>
        <w:t xml:space="preserve">the </w:t>
      </w:r>
      <w:proofErr w:type="gramStart"/>
      <w:r>
        <w:t>Roadmap</w:t>
      </w:r>
      <w:proofErr w:type="gramEnd"/>
      <w:r>
        <w:t xml:space="preserve"> through to </w:t>
      </w:r>
      <w:r>
        <w:lastRenderedPageBreak/>
        <w:t>fruition</w:t>
      </w:r>
      <w:r w:rsidR="00E35CC6">
        <w:t xml:space="preserve">. She </w:t>
      </w:r>
      <w:r w:rsidR="00C274FE">
        <w:t>has voiced</w:t>
      </w:r>
      <w:r w:rsidR="00E35CC6">
        <w:t xml:space="preserve"> both strong</w:t>
      </w:r>
      <w:r w:rsidR="00A80EFF">
        <w:t xml:space="preserve"> </w:t>
      </w:r>
      <w:r w:rsidRPr="001F7C0E">
        <w:t xml:space="preserve">opposition to involuntary outpatient commitment and belief </w:t>
      </w:r>
      <w:r w:rsidR="00E35CC6">
        <w:t xml:space="preserve">in the superior efficacy </w:t>
      </w:r>
      <w:r w:rsidR="00B76FB6">
        <w:t>of</w:t>
      </w:r>
      <w:r w:rsidR="00E35CC6">
        <w:t xml:space="preserve"> a </w:t>
      </w:r>
      <w:r w:rsidRPr="001F7C0E">
        <w:t xml:space="preserve">voluntary mental health system. </w:t>
      </w:r>
    </w:p>
    <w:p w14:paraId="66655404" w14:textId="16088AA0" w:rsidR="0050062A" w:rsidRPr="001F7C0E" w:rsidRDefault="008E5412" w:rsidP="00932AAD">
      <w:pPr>
        <w:pStyle w:val="Heading1"/>
        <w:ind w:hanging="810"/>
      </w:pPr>
      <w:r w:rsidRPr="00897A34">
        <w:t>V</w:t>
      </w:r>
      <w:r w:rsidR="003E0857">
        <w:t>I</w:t>
      </w:r>
      <w:r w:rsidR="00BC7847">
        <w:t xml:space="preserve">. </w:t>
      </w:r>
      <w:r w:rsidR="003E0857">
        <w:tab/>
      </w:r>
      <w:r w:rsidR="0050062A" w:rsidRPr="001F7C0E">
        <w:t>IN MASSACHUSETTS, AN INDIVIDUAL’S FUNDAMENTAL RIGHT TO REFUSE TREATMENT AND LIBERTY INTERESTS ARE CAREFULLY BALANCED AGAINST PROTECTIONS WHICH ALLOW FOR SUBSTITUTED JUDGEMENT REGARDING TREATMENT AND CIVIL COMMITMENT</w:t>
      </w:r>
      <w:r w:rsidR="00C573E3">
        <w:t>.</w:t>
      </w:r>
      <w:r w:rsidR="0050062A" w:rsidRPr="001F7C0E">
        <w:t xml:space="preserve"> </w:t>
      </w:r>
    </w:p>
    <w:p w14:paraId="5855132A" w14:textId="60BAD020" w:rsidR="0050062A" w:rsidRPr="00B75DF9" w:rsidRDefault="000F16D8" w:rsidP="00932AAD">
      <w:pPr>
        <w:pStyle w:val="Heading2"/>
        <w:ind w:left="720" w:hanging="720"/>
      </w:pPr>
      <w:r>
        <w:t xml:space="preserve">A. </w:t>
      </w:r>
      <w:r w:rsidR="003E0857">
        <w:tab/>
      </w:r>
      <w:r w:rsidR="0050062A" w:rsidRPr="00B75DF9">
        <w:t xml:space="preserve">Massachusetts </w:t>
      </w:r>
      <w:r w:rsidR="0050062A" w:rsidRPr="001F7C0E">
        <w:t>L</w:t>
      </w:r>
      <w:r w:rsidR="0050062A" w:rsidRPr="00B75DF9">
        <w:t xml:space="preserve">aw </w:t>
      </w:r>
      <w:r w:rsidR="0050062A">
        <w:t xml:space="preserve">Recognizes and Vigorously Enforces a </w:t>
      </w:r>
      <w:r w:rsidR="0050062A" w:rsidRPr="001F7C0E">
        <w:t>F</w:t>
      </w:r>
      <w:r w:rsidR="0050062A" w:rsidRPr="00B75DF9">
        <w:t xml:space="preserve">undamental </w:t>
      </w:r>
      <w:r w:rsidR="0050062A" w:rsidRPr="001F7C0E">
        <w:t>R</w:t>
      </w:r>
      <w:r w:rsidR="0050062A" w:rsidRPr="00B75DF9">
        <w:t xml:space="preserve">ight </w:t>
      </w:r>
      <w:r w:rsidR="0050062A">
        <w:t>t</w:t>
      </w:r>
      <w:r w:rsidR="0050062A" w:rsidRPr="00B75DF9">
        <w:t xml:space="preserve">o </w:t>
      </w:r>
      <w:r w:rsidR="0050062A" w:rsidRPr="001F7C0E">
        <w:t>R</w:t>
      </w:r>
      <w:r w:rsidR="0050062A" w:rsidRPr="00B75DF9">
        <w:t xml:space="preserve">efuse </w:t>
      </w:r>
      <w:r w:rsidR="0050062A" w:rsidRPr="001F7C0E">
        <w:t>T</w:t>
      </w:r>
      <w:r w:rsidR="0050062A" w:rsidRPr="00B75DF9">
        <w:t>reatment</w:t>
      </w:r>
      <w:r w:rsidR="00C573E3">
        <w:t>.</w:t>
      </w:r>
    </w:p>
    <w:p w14:paraId="2163F517" w14:textId="56009518" w:rsidR="0050062A" w:rsidRPr="001F7C0E" w:rsidRDefault="0050062A" w:rsidP="0050062A">
      <w:pPr>
        <w:pStyle w:val="CM15"/>
        <w:spacing w:after="297" w:line="276" w:lineRule="atLeast"/>
        <w:ind w:right="155" w:firstLine="720"/>
        <w:rPr>
          <w:color w:val="000000"/>
        </w:rPr>
      </w:pPr>
      <w:r w:rsidRPr="001F7C0E">
        <w:rPr>
          <w:color w:val="000000"/>
        </w:rPr>
        <w:t xml:space="preserve">Massachusetts has long recognized </w:t>
      </w:r>
      <w:r>
        <w:rPr>
          <w:color w:val="000000"/>
        </w:rPr>
        <w:t xml:space="preserve">both </w:t>
      </w:r>
      <w:r w:rsidRPr="001F7C0E">
        <w:rPr>
          <w:color w:val="000000"/>
        </w:rPr>
        <w:t>common law and constitutional bases for an individual's right to refuse medical treatment.</w:t>
      </w:r>
      <w:r w:rsidRPr="001F7C0E">
        <w:rPr>
          <w:rStyle w:val="FootnoteReference"/>
          <w:color w:val="000000"/>
        </w:rPr>
        <w:footnoteReference w:id="49"/>
      </w:r>
      <w:r w:rsidRPr="001F7C0E">
        <w:rPr>
          <w:color w:val="000000"/>
        </w:rPr>
        <w:t xml:space="preserve"> Even in an emergency, a competent person's refusal of treatment may not be overridden.</w:t>
      </w:r>
      <w:r w:rsidRPr="001F7C0E">
        <w:rPr>
          <w:rStyle w:val="FootnoteReference"/>
          <w:color w:val="000000"/>
        </w:rPr>
        <w:footnoteReference w:id="50"/>
      </w:r>
      <w:r w:rsidRPr="001F7C0E">
        <w:rPr>
          <w:color w:val="000000"/>
        </w:rPr>
        <w:t xml:space="preserve"> Supreme Judicial Court (SJC) </w:t>
      </w:r>
      <w:r w:rsidR="00E35CC6">
        <w:rPr>
          <w:color w:val="000000"/>
        </w:rPr>
        <w:t xml:space="preserve">precedent clearly </w:t>
      </w:r>
      <w:r w:rsidRPr="001F7C0E">
        <w:rPr>
          <w:color w:val="000000"/>
        </w:rPr>
        <w:t>recognize</w:t>
      </w:r>
      <w:r w:rsidR="00E35CC6">
        <w:rPr>
          <w:color w:val="000000"/>
        </w:rPr>
        <w:t xml:space="preserve">s </w:t>
      </w:r>
      <w:r w:rsidRPr="001F7C0E">
        <w:rPr>
          <w:color w:val="000000"/>
        </w:rPr>
        <w:t xml:space="preserve">the general right of all persons, whether competent </w:t>
      </w:r>
      <w:r w:rsidRPr="00CE0FA6">
        <w:rPr>
          <w:color w:val="000000"/>
        </w:rPr>
        <w:t>or incompetent</w:t>
      </w:r>
      <w:r w:rsidRPr="001F7C0E">
        <w:rPr>
          <w:i/>
          <w:iCs/>
          <w:color w:val="000000"/>
        </w:rPr>
        <w:t xml:space="preserve">, </w:t>
      </w:r>
      <w:r w:rsidRPr="001F7C0E">
        <w:rPr>
          <w:color w:val="000000"/>
        </w:rPr>
        <w:t>to refuse medical treatment.</w:t>
      </w:r>
      <w:r w:rsidRPr="001F7C0E">
        <w:rPr>
          <w:rStyle w:val="FootnoteReference"/>
          <w:color w:val="000000"/>
        </w:rPr>
        <w:footnoteReference w:id="51"/>
      </w:r>
      <w:r w:rsidRPr="001F7C0E">
        <w:rPr>
          <w:color w:val="000000"/>
        </w:rPr>
        <w:t xml:space="preserve"> </w:t>
      </w:r>
    </w:p>
    <w:p w14:paraId="12BE337F" w14:textId="0CB91DC2" w:rsidR="0050062A" w:rsidRDefault="0050062A" w:rsidP="0050062A">
      <w:pPr>
        <w:pStyle w:val="CM8"/>
        <w:ind w:firstLine="647"/>
        <w:rPr>
          <w:color w:val="000000"/>
        </w:rPr>
      </w:pPr>
      <w:r w:rsidRPr="001F7C0E">
        <w:rPr>
          <w:color w:val="000000"/>
        </w:rPr>
        <w:t xml:space="preserve">The right to refuse unwanted medical treatment applies </w:t>
      </w:r>
      <w:r w:rsidR="007F1826">
        <w:rPr>
          <w:color w:val="000000"/>
        </w:rPr>
        <w:t xml:space="preserve">to </w:t>
      </w:r>
      <w:r w:rsidRPr="001F7C0E">
        <w:rPr>
          <w:color w:val="000000"/>
        </w:rPr>
        <w:t>individuals with mental illness.</w:t>
      </w:r>
      <w:r w:rsidRPr="001F7C0E">
        <w:rPr>
          <w:rStyle w:val="FootnoteReference"/>
          <w:color w:val="000000"/>
        </w:rPr>
        <w:footnoteReference w:id="52"/>
      </w:r>
      <w:r>
        <w:rPr>
          <w:color w:val="000000"/>
        </w:rPr>
        <w:t xml:space="preserve"> Indeed, </w:t>
      </w:r>
      <w:r w:rsidRPr="001F7C0E">
        <w:rPr>
          <w:color w:val="000000"/>
        </w:rPr>
        <w:t xml:space="preserve">Massachusetts </w:t>
      </w:r>
      <w:r w:rsidR="00C274FE">
        <w:rPr>
          <w:color w:val="000000"/>
        </w:rPr>
        <w:t xml:space="preserve">residents </w:t>
      </w:r>
      <w:r w:rsidRPr="001F7C0E">
        <w:rPr>
          <w:color w:val="000000"/>
        </w:rPr>
        <w:t xml:space="preserve">are presumed to be competent to consent to </w:t>
      </w:r>
      <w:r>
        <w:rPr>
          <w:color w:val="000000"/>
        </w:rPr>
        <w:t xml:space="preserve">or to decline </w:t>
      </w:r>
      <w:r w:rsidRPr="001F7C0E">
        <w:rPr>
          <w:color w:val="000000"/>
        </w:rPr>
        <w:t>medical and psychiatric treatment</w:t>
      </w:r>
      <w:r w:rsidR="00BC7847">
        <w:rPr>
          <w:color w:val="000000"/>
        </w:rPr>
        <w:t xml:space="preserve">. </w:t>
      </w:r>
      <w:r w:rsidRPr="001F7C0E">
        <w:rPr>
          <w:color w:val="000000"/>
        </w:rPr>
        <w:t>T</w:t>
      </w:r>
      <w:r>
        <w:rPr>
          <w:color w:val="000000"/>
        </w:rPr>
        <w:t>he</w:t>
      </w:r>
      <w:r w:rsidRPr="001F7C0E">
        <w:rPr>
          <w:color w:val="000000"/>
        </w:rPr>
        <w:t xml:space="preserve"> presumption </w:t>
      </w:r>
      <w:r>
        <w:rPr>
          <w:color w:val="000000"/>
        </w:rPr>
        <w:t xml:space="preserve">of competence </w:t>
      </w:r>
      <w:r w:rsidRPr="001F7C0E">
        <w:rPr>
          <w:color w:val="000000"/>
        </w:rPr>
        <w:t>may only be overridden by a judge after a hearing.</w:t>
      </w:r>
      <w:r w:rsidRPr="001F7C0E">
        <w:rPr>
          <w:rStyle w:val="FootnoteReference"/>
          <w:color w:val="000000"/>
        </w:rPr>
        <w:footnoteReference w:id="53"/>
      </w:r>
      <w:r w:rsidRPr="001F7C0E">
        <w:rPr>
          <w:color w:val="000000"/>
        </w:rPr>
        <w:t xml:space="preserve"> </w:t>
      </w:r>
      <w:r>
        <w:rPr>
          <w:color w:val="000000"/>
        </w:rPr>
        <w:t xml:space="preserve">Moreover, the </w:t>
      </w:r>
      <w:r w:rsidRPr="001F7C0E">
        <w:rPr>
          <w:color w:val="000000"/>
        </w:rPr>
        <w:t xml:space="preserve">presumption </w:t>
      </w:r>
      <w:r>
        <w:rPr>
          <w:color w:val="000000"/>
        </w:rPr>
        <w:t xml:space="preserve">applies </w:t>
      </w:r>
      <w:r w:rsidRPr="001F7C0E">
        <w:rPr>
          <w:color w:val="000000"/>
        </w:rPr>
        <w:t>even to individuals who have been civilly committed after a judicial finding that they are mentally ill and that there is a risk of serious harm to themselves or others.</w:t>
      </w:r>
      <w:r w:rsidRPr="001F7C0E">
        <w:rPr>
          <w:rStyle w:val="FootnoteReference"/>
          <w:color w:val="000000"/>
        </w:rPr>
        <w:footnoteReference w:id="54"/>
      </w:r>
      <w:r w:rsidRPr="001F7C0E">
        <w:rPr>
          <w:color w:val="000000"/>
        </w:rPr>
        <w:t xml:space="preserve"> </w:t>
      </w:r>
    </w:p>
    <w:p w14:paraId="25CA5532" w14:textId="77777777" w:rsidR="0050062A" w:rsidRPr="00BF71B4" w:rsidRDefault="0050062A" w:rsidP="0050062A">
      <w:pPr>
        <w:pStyle w:val="Default"/>
      </w:pPr>
    </w:p>
    <w:p w14:paraId="5E3332A2" w14:textId="25341B36" w:rsidR="0050062A" w:rsidRDefault="0050062A" w:rsidP="0050062A">
      <w:pPr>
        <w:pStyle w:val="CM8"/>
        <w:ind w:firstLine="647"/>
        <w:rPr>
          <w:color w:val="000000"/>
        </w:rPr>
      </w:pPr>
      <w:r w:rsidRPr="001F7C0E">
        <w:rPr>
          <w:color w:val="000000"/>
        </w:rPr>
        <w:t>Accordingly, individuals with mental illness may only be forced to accept invasive mental health treatment, such as antipsychotic medication, if they are found by a court to be incompetent; and if the court, pursuant to a substituted judgment analysis, determines that the person would accept treatment if they were competent.</w:t>
      </w:r>
      <w:r w:rsidRPr="001F7C0E">
        <w:rPr>
          <w:rStyle w:val="FootnoteReference"/>
          <w:color w:val="000000"/>
        </w:rPr>
        <w:footnoteReference w:id="55"/>
      </w:r>
      <w:r w:rsidRPr="001F7C0E">
        <w:rPr>
          <w:color w:val="000000"/>
        </w:rPr>
        <w:t xml:space="preserve"> The judge makes the substituted judgment determination, taking into consideration the individual's preference for each specific treatment, the risks and benefits of that treatment, and the consequence of not receiving the treatment</w:t>
      </w:r>
      <w:r w:rsidR="00BC7847">
        <w:rPr>
          <w:color w:val="000000"/>
        </w:rPr>
        <w:t xml:space="preserve">. </w:t>
      </w:r>
      <w:r w:rsidRPr="001F7C0E">
        <w:rPr>
          <w:color w:val="000000"/>
        </w:rPr>
        <w:t xml:space="preserve">In </w:t>
      </w:r>
      <w:r w:rsidRPr="001F7C0E">
        <w:rPr>
          <w:i/>
          <w:iCs/>
          <w:color w:val="000000"/>
        </w:rPr>
        <w:t xml:space="preserve">Rogers v. Commissioner of Dept. of Mental Health, </w:t>
      </w:r>
      <w:r w:rsidRPr="001F7C0E">
        <w:rPr>
          <w:color w:val="000000"/>
        </w:rPr>
        <w:t>the SJC emphasized that an individual's expressed preference is a "critical factor" in the substituted judgment analysis because "it is the patient's true desire that the court must ascertain."</w:t>
      </w:r>
      <w:r w:rsidRPr="001F7C0E">
        <w:rPr>
          <w:rStyle w:val="FootnoteReference"/>
          <w:color w:val="000000"/>
        </w:rPr>
        <w:footnoteReference w:id="56"/>
      </w:r>
    </w:p>
    <w:p w14:paraId="6D2A5806" w14:textId="77777777" w:rsidR="0050062A" w:rsidRPr="00BF71B4" w:rsidRDefault="0050062A" w:rsidP="0050062A">
      <w:pPr>
        <w:pStyle w:val="Default"/>
      </w:pPr>
    </w:p>
    <w:p w14:paraId="0C7FE2F5" w14:textId="79CF37B5" w:rsidR="0050062A" w:rsidRPr="008F0588" w:rsidRDefault="000F16D8" w:rsidP="00A40A42">
      <w:pPr>
        <w:pStyle w:val="Heading2"/>
        <w:ind w:left="647" w:hanging="647"/>
      </w:pPr>
      <w:r>
        <w:lastRenderedPageBreak/>
        <w:t xml:space="preserve">B. </w:t>
      </w:r>
      <w:r w:rsidR="003E0857">
        <w:tab/>
      </w:r>
      <w:r w:rsidR="0050062A">
        <w:t xml:space="preserve">Massachusetts Law Provides for Involuntary Civil Commitment for Individuals with Mental Illness Who Present a </w:t>
      </w:r>
      <w:r w:rsidR="2FA81137">
        <w:t>R</w:t>
      </w:r>
      <w:r w:rsidR="0050062A">
        <w:t>isk of Serious Harm to Themselves or Others, While Recognizing Such Commitments as a Massive Curtailment of Liberty</w:t>
      </w:r>
      <w:r w:rsidR="00C573E3">
        <w:t>.</w:t>
      </w:r>
      <w:r w:rsidR="0050062A">
        <w:t xml:space="preserve"> </w:t>
      </w:r>
    </w:p>
    <w:p w14:paraId="294DBD27" w14:textId="4176339E" w:rsidR="0050062A" w:rsidRPr="001F7C0E" w:rsidRDefault="0050062A" w:rsidP="0050062A">
      <w:pPr>
        <w:pStyle w:val="CM15"/>
        <w:spacing w:after="297" w:line="276" w:lineRule="atLeast"/>
        <w:ind w:firstLine="647"/>
        <w:rPr>
          <w:color w:val="000000"/>
        </w:rPr>
      </w:pPr>
      <w:r>
        <w:rPr>
          <w:color w:val="000000"/>
        </w:rPr>
        <w:t>I</w:t>
      </w:r>
      <w:r w:rsidRPr="001F7C0E">
        <w:rPr>
          <w:color w:val="000000"/>
        </w:rPr>
        <w:t xml:space="preserve">ndividuals with mental illness who present a risk of serious harm to </w:t>
      </w:r>
      <w:proofErr w:type="gramStart"/>
      <w:r w:rsidRPr="001F7C0E">
        <w:rPr>
          <w:color w:val="000000"/>
        </w:rPr>
        <w:t>themselves</w:t>
      </w:r>
      <w:proofErr w:type="gramEnd"/>
      <w:r w:rsidRPr="001F7C0E">
        <w:rPr>
          <w:color w:val="000000"/>
        </w:rPr>
        <w:t xml:space="preserve"> or others may be subject to restraint, detention, and involuntary confinement in a secure mental health facility</w:t>
      </w:r>
      <w:r w:rsidR="00BC7847">
        <w:rPr>
          <w:color w:val="000000"/>
        </w:rPr>
        <w:t xml:space="preserve">. </w:t>
      </w:r>
      <w:r w:rsidRPr="001F7C0E">
        <w:rPr>
          <w:color w:val="000000"/>
        </w:rPr>
        <w:t>Like every state, Massachusetts has a well-established and frequently used system of involuntary civil commitment that can be pursued in an emergency and for the long term</w:t>
      </w:r>
      <w:r w:rsidR="00BC7847">
        <w:rPr>
          <w:color w:val="000000"/>
        </w:rPr>
        <w:t xml:space="preserve">. </w:t>
      </w:r>
      <w:r w:rsidRPr="001F7C0E">
        <w:rPr>
          <w:color w:val="000000"/>
        </w:rPr>
        <w:t>This process may be initiated by, among others, a mental health professional, a police officer, or a family member.</w:t>
      </w:r>
      <w:r w:rsidRPr="001F7C0E">
        <w:rPr>
          <w:rStyle w:val="FootnoteReference"/>
          <w:color w:val="000000"/>
        </w:rPr>
        <w:footnoteReference w:id="57"/>
      </w:r>
      <w:r w:rsidRPr="001F7C0E">
        <w:rPr>
          <w:color w:val="000000"/>
        </w:rPr>
        <w:t xml:space="preserve"> </w:t>
      </w:r>
    </w:p>
    <w:p w14:paraId="265E3FE3" w14:textId="280047AE" w:rsidR="0050062A" w:rsidRPr="001F7C0E" w:rsidRDefault="0050062A" w:rsidP="0050062A">
      <w:pPr>
        <w:pStyle w:val="CM15"/>
        <w:spacing w:after="297" w:line="276" w:lineRule="atLeast"/>
        <w:ind w:firstLine="647"/>
      </w:pPr>
      <w:r w:rsidRPr="001F7C0E">
        <w:tab/>
        <w:t xml:space="preserve">The Supreme Court </w:t>
      </w:r>
      <w:r>
        <w:t xml:space="preserve">and the SJC have both described </w:t>
      </w:r>
      <w:r w:rsidRPr="001F7C0E">
        <w:t xml:space="preserve">civil commitment </w:t>
      </w:r>
      <w:r>
        <w:t xml:space="preserve">as </w:t>
      </w:r>
      <w:r w:rsidRPr="001F7C0E">
        <w:t>a “massive curtailment of liberty.”</w:t>
      </w:r>
      <w:r w:rsidRPr="001F7C0E">
        <w:rPr>
          <w:rStyle w:val="FootnoteReference"/>
        </w:rPr>
        <w:footnoteReference w:id="58"/>
      </w:r>
      <w:r w:rsidRPr="001F7C0E">
        <w:t xml:space="preserve"> </w:t>
      </w:r>
      <w:r>
        <w:t>B</w:t>
      </w:r>
      <w:r w:rsidRPr="001F7C0E">
        <w:t xml:space="preserve">eginning with its decision in </w:t>
      </w:r>
      <w:r w:rsidRPr="001F7C0E">
        <w:rPr>
          <w:i/>
          <w:iCs/>
        </w:rPr>
        <w:t>Commonwealth v. Nassar</w:t>
      </w:r>
      <w:r w:rsidRPr="001F7C0E">
        <w:t xml:space="preserve"> more than 40 years ago, the SJC has required that the statutory objectives of Chapter 123 of the General Laws be accomplished in the least restrictive manner possible, including by requiring a legal determination in commitment proceedings that there are no less restrictive, voluntary treatment alternatives to commitment.</w:t>
      </w:r>
      <w:r w:rsidRPr="001F7C0E">
        <w:rPr>
          <w:rStyle w:val="FootnoteReference"/>
        </w:rPr>
        <w:footnoteReference w:id="59"/>
      </w:r>
      <w:r w:rsidRPr="001F7C0E">
        <w:t xml:space="preserve"> </w:t>
      </w:r>
      <w:r>
        <w:t>Since then, t</w:t>
      </w:r>
      <w:r w:rsidRPr="001F7C0E">
        <w:t>he SJC has consistently reaffirmed th</w:t>
      </w:r>
      <w:r>
        <w:t>at</w:t>
      </w:r>
      <w:r w:rsidRPr="001F7C0E">
        <w:t xml:space="preserve"> principle</w:t>
      </w:r>
      <w:r w:rsidR="00C274FE">
        <w:t>.</w:t>
      </w:r>
      <w:r w:rsidRPr="001F7C0E">
        <w:rPr>
          <w:rStyle w:val="FootnoteReference"/>
        </w:rPr>
        <w:footnoteReference w:id="60"/>
      </w:r>
      <w:r w:rsidR="00D1178D">
        <w:t xml:space="preserve"> </w:t>
      </w:r>
      <w:r w:rsidR="00C274FE">
        <w:t xml:space="preserve">The Court has further held </w:t>
      </w:r>
      <w:r w:rsidR="00AB61D7">
        <w:t xml:space="preserve">that </w:t>
      </w:r>
      <w:r w:rsidRPr="001F7C0E">
        <w:t xml:space="preserve">detailed findings are constitutionally mandated and essential </w:t>
      </w:r>
      <w:r w:rsidR="00AB61D7">
        <w:t xml:space="preserve">to affording </w:t>
      </w:r>
      <w:r w:rsidRPr="001F7C0E">
        <w:t>due process when</w:t>
      </w:r>
      <w:r w:rsidR="00AB61D7">
        <w:t xml:space="preserve"> a deprivation of </w:t>
      </w:r>
      <w:r w:rsidRPr="001F7C0E">
        <w:t xml:space="preserve">individual liberty interests </w:t>
      </w:r>
      <w:r w:rsidR="00AB61D7">
        <w:t>is</w:t>
      </w:r>
      <w:r w:rsidRPr="001F7C0E">
        <w:t xml:space="preserve"> at stake.</w:t>
      </w:r>
      <w:r w:rsidRPr="001F7C0E">
        <w:rPr>
          <w:rStyle w:val="FootnoteReference"/>
        </w:rPr>
        <w:footnoteReference w:id="61"/>
      </w:r>
      <w:r w:rsidRPr="001F7C0E">
        <w:t xml:space="preserve"> </w:t>
      </w:r>
      <w:r>
        <w:tab/>
      </w:r>
    </w:p>
    <w:p w14:paraId="08C59C38" w14:textId="7674D24B" w:rsidR="0050062A" w:rsidRPr="001F7C0E" w:rsidRDefault="0050062A" w:rsidP="0050062A">
      <w:pPr>
        <w:pStyle w:val="CM15"/>
        <w:spacing w:after="297" w:line="276" w:lineRule="atLeast"/>
        <w:ind w:firstLine="647"/>
        <w:rPr>
          <w:color w:val="000000"/>
        </w:rPr>
      </w:pPr>
      <w:r w:rsidRPr="001F7C0E">
        <w:rPr>
          <w:color w:val="000000"/>
        </w:rPr>
        <w:t>As this important body of caselaw demonstrates, Massachusetts has a lengthy history of recognizing the fundamental right to bodily integrity, informed consent, and autonomy regard</w:t>
      </w:r>
      <w:r w:rsidR="009046F4">
        <w:rPr>
          <w:color w:val="000000"/>
        </w:rPr>
        <w:t>ing</w:t>
      </w:r>
      <w:r w:rsidRPr="001F7C0E">
        <w:rPr>
          <w:color w:val="000000"/>
        </w:rPr>
        <w:t xml:space="preserve"> treatment decisions, including treatment for mental illness</w:t>
      </w:r>
      <w:r w:rsidR="00BC7847">
        <w:rPr>
          <w:color w:val="000000"/>
        </w:rPr>
        <w:t>.</w:t>
      </w:r>
      <w:r w:rsidR="00AB61D7">
        <w:rPr>
          <w:color w:val="000000"/>
        </w:rPr>
        <w:t xml:space="preserve"> </w:t>
      </w:r>
      <w:r w:rsidR="00AB61D7" w:rsidRPr="00AB61D7">
        <w:rPr>
          <w:color w:val="000000"/>
        </w:rPr>
        <w:t>These established rights and statutory procedures provide the context for analyzing any involuntary outpatient commitment proposal.</w:t>
      </w:r>
      <w:r w:rsidR="00BC7847">
        <w:rPr>
          <w:color w:val="000000"/>
        </w:rPr>
        <w:t xml:space="preserve"> </w:t>
      </w:r>
      <w:r w:rsidR="00AB61D7">
        <w:rPr>
          <w:color w:val="000000"/>
        </w:rPr>
        <w:t>C</w:t>
      </w:r>
      <w:r>
        <w:rPr>
          <w:color w:val="000000"/>
        </w:rPr>
        <w:t xml:space="preserve">ase law and statutes have </w:t>
      </w:r>
      <w:r w:rsidRPr="001F7C0E">
        <w:rPr>
          <w:color w:val="000000"/>
        </w:rPr>
        <w:t xml:space="preserve">established judicial procedures for determining whether an individual is incompetent to make mental health treatment decisions, and if so, whether the individual's substituted judgment </w:t>
      </w:r>
      <w:r w:rsidR="00AB61D7">
        <w:rPr>
          <w:color w:val="000000"/>
        </w:rPr>
        <w:t>would be</w:t>
      </w:r>
      <w:r w:rsidRPr="001F7C0E">
        <w:rPr>
          <w:color w:val="000000"/>
        </w:rPr>
        <w:t xml:space="preserve"> to accept a proposed treatment</w:t>
      </w:r>
      <w:r w:rsidR="00BC7847">
        <w:rPr>
          <w:color w:val="000000"/>
        </w:rPr>
        <w:t xml:space="preserve">. </w:t>
      </w:r>
      <w:r w:rsidRPr="001F7C0E">
        <w:rPr>
          <w:color w:val="000000"/>
        </w:rPr>
        <w:t>These procedures apply equally to mental health care in facilities and in the community</w:t>
      </w:r>
      <w:r w:rsidR="00BC7847">
        <w:rPr>
          <w:color w:val="000000"/>
        </w:rPr>
        <w:t xml:space="preserve">. </w:t>
      </w:r>
      <w:r w:rsidRPr="001F7C0E">
        <w:rPr>
          <w:color w:val="000000"/>
        </w:rPr>
        <w:t xml:space="preserve">Thus, </w:t>
      </w:r>
      <w:proofErr w:type="gramStart"/>
      <w:r w:rsidRPr="001F7C0E">
        <w:rPr>
          <w:color w:val="000000"/>
        </w:rPr>
        <w:t>in order to</w:t>
      </w:r>
      <w:proofErr w:type="gramEnd"/>
      <w:r w:rsidRPr="001F7C0E">
        <w:rPr>
          <w:color w:val="000000"/>
        </w:rPr>
        <w:t xml:space="preserve"> pass constitutional muster, any involuntary outpatient commitment law would need to include provision for a </w:t>
      </w:r>
      <w:r w:rsidRPr="001F7C0E">
        <w:rPr>
          <w:color w:val="000000"/>
        </w:rPr>
        <w:lastRenderedPageBreak/>
        <w:t xml:space="preserve">judicial procedure that is comparable to </w:t>
      </w:r>
      <w:r w:rsidRPr="001F7C0E">
        <w:rPr>
          <w:i/>
          <w:iCs/>
          <w:color w:val="000000"/>
        </w:rPr>
        <w:t xml:space="preserve">Rogers </w:t>
      </w:r>
      <w:r w:rsidRPr="001F7C0E">
        <w:rPr>
          <w:color w:val="000000"/>
        </w:rPr>
        <w:t xml:space="preserve">and inpatient commitment proceedings. </w:t>
      </w:r>
    </w:p>
    <w:p w14:paraId="0F242487" w14:textId="08762867" w:rsidR="00C51E90" w:rsidRPr="001F7C0E" w:rsidRDefault="00C51E90" w:rsidP="00A40A42">
      <w:pPr>
        <w:pStyle w:val="Heading1"/>
        <w:ind w:left="-720" w:firstLine="0"/>
      </w:pPr>
      <w:r>
        <w:t>V</w:t>
      </w:r>
      <w:r w:rsidR="009249AC">
        <w:t>I</w:t>
      </w:r>
      <w:r w:rsidR="07329D91">
        <w:t>I</w:t>
      </w:r>
      <w:r>
        <w:t xml:space="preserve">. </w:t>
      </w:r>
      <w:r w:rsidR="009249AC">
        <w:tab/>
      </w:r>
      <w:r>
        <w:t xml:space="preserve">CONCLUSION </w:t>
      </w:r>
    </w:p>
    <w:p w14:paraId="789A03DD" w14:textId="5F6736B0" w:rsidR="00C51E90" w:rsidRPr="001F7C0E" w:rsidRDefault="00CE252C" w:rsidP="00986673">
      <w:pPr>
        <w:pStyle w:val="CM8"/>
        <w:ind w:firstLine="647"/>
      </w:pPr>
      <w:r>
        <w:rPr>
          <w:color w:val="000000"/>
        </w:rPr>
        <w:t>It is a</w:t>
      </w:r>
      <w:r w:rsidR="00C51E90" w:rsidRPr="001F7C0E">
        <w:rPr>
          <w:color w:val="000000"/>
        </w:rPr>
        <w:t xml:space="preserve"> comprehensive array of well-funded community mental health services </w:t>
      </w:r>
      <w:r>
        <w:rPr>
          <w:color w:val="000000"/>
        </w:rPr>
        <w:t xml:space="preserve">that can </w:t>
      </w:r>
      <w:r w:rsidR="00C51E90" w:rsidRPr="001F7C0E">
        <w:rPr>
          <w:color w:val="000000"/>
        </w:rPr>
        <w:t>prevent bad outcomes</w:t>
      </w:r>
      <w:r w:rsidR="004F0082" w:rsidRPr="001F7C0E">
        <w:rPr>
          <w:color w:val="000000"/>
        </w:rPr>
        <w:t xml:space="preserve"> for people with mental health conditions</w:t>
      </w:r>
      <w:r w:rsidR="00C51E90" w:rsidRPr="001F7C0E">
        <w:rPr>
          <w:color w:val="000000"/>
        </w:rPr>
        <w:t xml:space="preserve">. </w:t>
      </w:r>
      <w:r w:rsidR="00CE6B40" w:rsidRPr="001F7C0E">
        <w:rPr>
          <w:color w:val="000000"/>
        </w:rPr>
        <w:t>Involuntary outpatient commitment</w:t>
      </w:r>
      <w:r w:rsidR="00C51E90" w:rsidRPr="001F7C0E">
        <w:rPr>
          <w:color w:val="000000"/>
        </w:rPr>
        <w:t>,</w:t>
      </w:r>
      <w:r>
        <w:rPr>
          <w:color w:val="000000"/>
        </w:rPr>
        <w:t xml:space="preserve"> by contrast, </w:t>
      </w:r>
      <w:r w:rsidR="00C51E90" w:rsidRPr="001F7C0E">
        <w:rPr>
          <w:color w:val="000000"/>
        </w:rPr>
        <w:t xml:space="preserve">delivers empty promises and </w:t>
      </w:r>
      <w:r>
        <w:rPr>
          <w:color w:val="000000"/>
        </w:rPr>
        <w:t xml:space="preserve">generates </w:t>
      </w:r>
      <w:r w:rsidR="00C51E90" w:rsidRPr="001F7C0E">
        <w:rPr>
          <w:color w:val="000000"/>
        </w:rPr>
        <w:t>false hope</w:t>
      </w:r>
      <w:r w:rsidR="00BC7847">
        <w:rPr>
          <w:color w:val="000000"/>
        </w:rPr>
        <w:t xml:space="preserve">. </w:t>
      </w:r>
      <w:r>
        <w:rPr>
          <w:color w:val="000000"/>
        </w:rPr>
        <w:t xml:space="preserve">Given the </w:t>
      </w:r>
      <w:r w:rsidR="004F0082" w:rsidRPr="001F7C0E">
        <w:rPr>
          <w:color w:val="000000"/>
        </w:rPr>
        <w:t xml:space="preserve">many </w:t>
      </w:r>
      <w:proofErr w:type="gramStart"/>
      <w:r w:rsidR="004F0082" w:rsidRPr="001F7C0E">
        <w:rPr>
          <w:color w:val="000000"/>
        </w:rPr>
        <w:t>pressing</w:t>
      </w:r>
      <w:proofErr w:type="gramEnd"/>
      <w:r w:rsidR="004F0082" w:rsidRPr="001F7C0E">
        <w:rPr>
          <w:color w:val="000000"/>
        </w:rPr>
        <w:t xml:space="preserve"> </w:t>
      </w:r>
      <w:r>
        <w:rPr>
          <w:color w:val="000000"/>
        </w:rPr>
        <w:t xml:space="preserve">and still largely unmet </w:t>
      </w:r>
      <w:r w:rsidR="004F0082" w:rsidRPr="001F7C0E">
        <w:rPr>
          <w:color w:val="000000"/>
        </w:rPr>
        <w:t xml:space="preserve">needs </w:t>
      </w:r>
      <w:r>
        <w:rPr>
          <w:color w:val="000000"/>
        </w:rPr>
        <w:t>of</w:t>
      </w:r>
      <w:r w:rsidR="009136FB" w:rsidRPr="001F7C0E">
        <w:rPr>
          <w:color w:val="000000"/>
        </w:rPr>
        <w:t xml:space="preserve"> </w:t>
      </w:r>
      <w:r w:rsidR="004F0082" w:rsidRPr="001F7C0E">
        <w:rPr>
          <w:color w:val="000000"/>
        </w:rPr>
        <w:t>persons with mental health conditions</w:t>
      </w:r>
      <w:r w:rsidR="007C7AD8" w:rsidRPr="001F7C0E">
        <w:rPr>
          <w:color w:val="000000"/>
        </w:rPr>
        <w:t xml:space="preserve"> (</w:t>
      </w:r>
      <w:r>
        <w:rPr>
          <w:color w:val="000000"/>
        </w:rPr>
        <w:t xml:space="preserve">e.g., </w:t>
      </w:r>
      <w:r w:rsidR="00D13EB9" w:rsidRPr="001F7C0E">
        <w:rPr>
          <w:color w:val="000000"/>
        </w:rPr>
        <w:t>housing</w:t>
      </w:r>
      <w:r w:rsidR="007C7AD8" w:rsidRPr="001F7C0E">
        <w:rPr>
          <w:color w:val="000000"/>
        </w:rPr>
        <w:t xml:space="preserve">, </w:t>
      </w:r>
      <w:r w:rsidR="0068324A" w:rsidRPr="001F7C0E">
        <w:rPr>
          <w:color w:val="000000"/>
        </w:rPr>
        <w:t xml:space="preserve">physical </w:t>
      </w:r>
      <w:r w:rsidR="00D13EB9" w:rsidRPr="001F7C0E">
        <w:rPr>
          <w:color w:val="000000"/>
        </w:rPr>
        <w:t>health care</w:t>
      </w:r>
      <w:r w:rsidR="007C7AD8" w:rsidRPr="001F7C0E">
        <w:rPr>
          <w:color w:val="000000"/>
        </w:rPr>
        <w:t xml:space="preserve">, </w:t>
      </w:r>
      <w:r w:rsidR="0068324A" w:rsidRPr="001F7C0E">
        <w:rPr>
          <w:color w:val="000000"/>
        </w:rPr>
        <w:t xml:space="preserve">behavioral </w:t>
      </w:r>
      <w:r w:rsidR="00D13EB9" w:rsidRPr="001F7C0E">
        <w:rPr>
          <w:color w:val="000000"/>
        </w:rPr>
        <w:t xml:space="preserve">health </w:t>
      </w:r>
      <w:r w:rsidR="0068324A" w:rsidRPr="001F7C0E">
        <w:rPr>
          <w:color w:val="000000"/>
        </w:rPr>
        <w:t xml:space="preserve">services and </w:t>
      </w:r>
      <w:r w:rsidR="007C7AD8" w:rsidRPr="001F7C0E">
        <w:rPr>
          <w:color w:val="000000"/>
        </w:rPr>
        <w:t xml:space="preserve">supports, </w:t>
      </w:r>
      <w:r w:rsidR="00D13EB9" w:rsidRPr="001F7C0E">
        <w:rPr>
          <w:color w:val="000000"/>
        </w:rPr>
        <w:t>assistance with daily living</w:t>
      </w:r>
      <w:r w:rsidR="007C7AD8" w:rsidRPr="001F7C0E">
        <w:rPr>
          <w:color w:val="000000"/>
        </w:rPr>
        <w:t xml:space="preserve"> activities, food assistance</w:t>
      </w:r>
      <w:r w:rsidR="00D13EB9" w:rsidRPr="001F7C0E">
        <w:rPr>
          <w:color w:val="000000"/>
        </w:rPr>
        <w:t xml:space="preserve">, </w:t>
      </w:r>
      <w:r w:rsidR="007C7AD8" w:rsidRPr="001F7C0E">
        <w:rPr>
          <w:color w:val="000000"/>
        </w:rPr>
        <w:t xml:space="preserve">and transportation), </w:t>
      </w:r>
      <w:r w:rsidR="009136FB" w:rsidRPr="001F7C0E">
        <w:rPr>
          <w:color w:val="000000"/>
        </w:rPr>
        <w:t xml:space="preserve">Massachusetts should </w:t>
      </w:r>
      <w:r w:rsidR="007C7AD8" w:rsidRPr="001F7C0E">
        <w:rPr>
          <w:color w:val="000000"/>
        </w:rPr>
        <w:t xml:space="preserve">direct </w:t>
      </w:r>
      <w:r w:rsidR="00C274FE">
        <w:rPr>
          <w:color w:val="000000"/>
        </w:rPr>
        <w:t>limited</w:t>
      </w:r>
      <w:r w:rsidR="009136FB" w:rsidRPr="001F7C0E">
        <w:rPr>
          <w:color w:val="000000"/>
        </w:rPr>
        <w:t xml:space="preserve"> </w:t>
      </w:r>
      <w:r w:rsidR="0068324A" w:rsidRPr="001F7C0E">
        <w:rPr>
          <w:color w:val="000000"/>
        </w:rPr>
        <w:t xml:space="preserve">behavioral health </w:t>
      </w:r>
      <w:r w:rsidR="009136FB" w:rsidRPr="001F7C0E">
        <w:rPr>
          <w:color w:val="000000"/>
        </w:rPr>
        <w:t xml:space="preserve">resources </w:t>
      </w:r>
      <w:r w:rsidR="0068324A" w:rsidRPr="001F7C0E">
        <w:rPr>
          <w:color w:val="000000"/>
        </w:rPr>
        <w:t>towards</w:t>
      </w:r>
      <w:r w:rsidR="009136FB" w:rsidRPr="001F7C0E">
        <w:rPr>
          <w:color w:val="000000"/>
        </w:rPr>
        <w:t xml:space="preserve"> voluntary services</w:t>
      </w:r>
      <w:r w:rsidR="00BC7847">
        <w:rPr>
          <w:color w:val="000000"/>
        </w:rPr>
        <w:t xml:space="preserve">. </w:t>
      </w:r>
      <w:r>
        <w:rPr>
          <w:color w:val="000000"/>
        </w:rPr>
        <w:t>If coercion is necessary,</w:t>
      </w:r>
      <w:r w:rsidR="00C51E90" w:rsidRPr="001F7C0E">
        <w:rPr>
          <w:color w:val="000000"/>
        </w:rPr>
        <w:t xml:space="preserve"> the </w:t>
      </w:r>
      <w:r>
        <w:rPr>
          <w:color w:val="000000"/>
        </w:rPr>
        <w:t xml:space="preserve">existent </w:t>
      </w:r>
      <w:r w:rsidR="00C51E90" w:rsidRPr="001F7C0E">
        <w:rPr>
          <w:i/>
          <w:iCs/>
          <w:color w:val="000000"/>
        </w:rPr>
        <w:t xml:space="preserve">Rogers </w:t>
      </w:r>
      <w:r w:rsidR="00C51E90" w:rsidRPr="001F7C0E">
        <w:rPr>
          <w:color w:val="000000"/>
        </w:rPr>
        <w:t xml:space="preserve">guardianship process </w:t>
      </w:r>
      <w:r>
        <w:rPr>
          <w:color w:val="000000"/>
        </w:rPr>
        <w:t xml:space="preserve">offers as effective an approach </w:t>
      </w:r>
      <w:r w:rsidR="00C51E90" w:rsidRPr="001F7C0E">
        <w:rPr>
          <w:color w:val="000000"/>
        </w:rPr>
        <w:t xml:space="preserve">to </w:t>
      </w:r>
      <w:r>
        <w:rPr>
          <w:color w:val="000000"/>
        </w:rPr>
        <w:t xml:space="preserve">the provision of </w:t>
      </w:r>
      <w:r w:rsidR="00C51E90" w:rsidRPr="001F7C0E">
        <w:rPr>
          <w:color w:val="000000"/>
        </w:rPr>
        <w:t>care, monitoring</w:t>
      </w:r>
      <w:r w:rsidR="0068324A" w:rsidRPr="001F7C0E">
        <w:rPr>
          <w:color w:val="000000"/>
        </w:rPr>
        <w:t>,</w:t>
      </w:r>
      <w:r w:rsidR="00C51E90" w:rsidRPr="001F7C0E">
        <w:rPr>
          <w:color w:val="000000"/>
        </w:rPr>
        <w:t xml:space="preserve"> and enforcement as any </w:t>
      </w:r>
      <w:r w:rsidR="00CE6B40" w:rsidRPr="001F7C0E">
        <w:rPr>
          <w:color w:val="000000"/>
        </w:rPr>
        <w:t xml:space="preserve">involuntary outpatient commitment </w:t>
      </w:r>
      <w:r w:rsidR="00C51E90" w:rsidRPr="001F7C0E">
        <w:rPr>
          <w:color w:val="000000"/>
        </w:rPr>
        <w:t>statute</w:t>
      </w:r>
      <w:r w:rsidR="00BC7847">
        <w:rPr>
          <w:color w:val="000000"/>
        </w:rPr>
        <w:t xml:space="preserve">. </w:t>
      </w:r>
      <w:r>
        <w:rPr>
          <w:color w:val="000000"/>
        </w:rPr>
        <w:t>A d</w:t>
      </w:r>
      <w:r w:rsidR="00C51E90" w:rsidRPr="001F7C0E">
        <w:rPr>
          <w:color w:val="000000"/>
        </w:rPr>
        <w:t>uplicat</w:t>
      </w:r>
      <w:r>
        <w:rPr>
          <w:color w:val="000000"/>
        </w:rPr>
        <w:t>e</w:t>
      </w:r>
      <w:r w:rsidR="00C51E90" w:rsidRPr="001F7C0E">
        <w:rPr>
          <w:color w:val="000000"/>
        </w:rPr>
        <w:t xml:space="preserve"> or parallel </w:t>
      </w:r>
      <w:r w:rsidR="00CE6B40" w:rsidRPr="001F7C0E">
        <w:rPr>
          <w:color w:val="000000"/>
        </w:rPr>
        <w:t xml:space="preserve">involuntary outpatient commitment </w:t>
      </w:r>
      <w:r w:rsidR="00C51E90" w:rsidRPr="001F7C0E">
        <w:rPr>
          <w:color w:val="000000"/>
        </w:rPr>
        <w:t>process would merely add costs with</w:t>
      </w:r>
      <w:r>
        <w:rPr>
          <w:color w:val="000000"/>
        </w:rPr>
        <w:t xml:space="preserve">out producing </w:t>
      </w:r>
      <w:r w:rsidR="00C51E90" w:rsidRPr="001F7C0E">
        <w:rPr>
          <w:color w:val="000000"/>
        </w:rPr>
        <w:t>procedural</w:t>
      </w:r>
      <w:r>
        <w:rPr>
          <w:color w:val="000000"/>
        </w:rPr>
        <w:t xml:space="preserve"> </w:t>
      </w:r>
      <w:r w:rsidR="00C51E90" w:rsidRPr="001F7C0E">
        <w:rPr>
          <w:color w:val="000000"/>
        </w:rPr>
        <w:t>or substantive</w:t>
      </w:r>
      <w:r>
        <w:rPr>
          <w:color w:val="000000"/>
        </w:rPr>
        <w:t xml:space="preserve"> benefit</w:t>
      </w:r>
      <w:r w:rsidR="00C51E90" w:rsidRPr="001F7C0E">
        <w:rPr>
          <w:color w:val="000000"/>
        </w:rPr>
        <w:t xml:space="preserve">. </w:t>
      </w:r>
    </w:p>
    <w:sectPr w:rsidR="00C51E90" w:rsidRPr="001F7C0E" w:rsidSect="00732CE8">
      <w:footerReference w:type="default" r:id="rId15"/>
      <w:endnotePr>
        <w:numFmt w:val="decimal"/>
      </w:endnotePr>
      <w:pgSz w:w="12240" w:h="163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14D0" w14:textId="77777777" w:rsidR="00592D6F" w:rsidRDefault="00592D6F" w:rsidP="00090396">
      <w:r>
        <w:separator/>
      </w:r>
    </w:p>
  </w:endnote>
  <w:endnote w:type="continuationSeparator" w:id="0">
    <w:p w14:paraId="799B0C12" w14:textId="77777777" w:rsidR="00592D6F" w:rsidRDefault="00592D6F" w:rsidP="00090396">
      <w:r>
        <w:continuationSeparator/>
      </w:r>
    </w:p>
  </w:endnote>
  <w:endnote w:type="continuationNotice" w:id="1">
    <w:p w14:paraId="2718AC6E" w14:textId="77777777" w:rsidR="00592D6F" w:rsidRDefault="00592D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375068"/>
      <w:docPartObj>
        <w:docPartGallery w:val="Page Numbers (Bottom of Page)"/>
        <w:docPartUnique/>
      </w:docPartObj>
    </w:sdtPr>
    <w:sdtEndPr>
      <w:rPr>
        <w:noProof/>
      </w:rPr>
    </w:sdtEndPr>
    <w:sdtContent>
      <w:p w14:paraId="6E304FB3" w14:textId="77777777" w:rsidR="00FA6C0D" w:rsidRDefault="00FA6C0D">
        <w:pPr>
          <w:pStyle w:val="Footer"/>
          <w:jc w:val="center"/>
        </w:pPr>
      </w:p>
      <w:p w14:paraId="24DDE0D3" w14:textId="3BCD800E" w:rsidR="00353628" w:rsidRDefault="003536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886DFD" w14:textId="4A511D4D" w:rsidR="00C85513" w:rsidRDefault="00C85513" w:rsidP="00C85513">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307B" w14:textId="77777777" w:rsidR="00592D6F" w:rsidRDefault="00592D6F" w:rsidP="00090396">
      <w:r>
        <w:separator/>
      </w:r>
    </w:p>
  </w:footnote>
  <w:footnote w:type="continuationSeparator" w:id="0">
    <w:p w14:paraId="537DA77A" w14:textId="77777777" w:rsidR="00592D6F" w:rsidRDefault="00592D6F" w:rsidP="00090396">
      <w:r>
        <w:continuationSeparator/>
      </w:r>
    </w:p>
  </w:footnote>
  <w:footnote w:type="continuationNotice" w:id="1">
    <w:p w14:paraId="003BE5BE" w14:textId="77777777" w:rsidR="00592D6F" w:rsidRDefault="00592D6F">
      <w:pPr>
        <w:spacing w:after="0" w:line="240" w:lineRule="auto"/>
      </w:pPr>
    </w:p>
  </w:footnote>
  <w:footnote w:id="2">
    <w:p w14:paraId="2A540E22" w14:textId="307AF4AC" w:rsidR="008E5232" w:rsidRPr="000613D9" w:rsidRDefault="008E5232" w:rsidP="00DC3A8F">
      <w:pPr>
        <w:pStyle w:val="NoSpacing"/>
        <w:rPr>
          <w:rFonts w:ascii="Times New Roman" w:hAnsi="Times New Roman"/>
        </w:rPr>
      </w:pPr>
      <w:r w:rsidRPr="000613D9">
        <w:rPr>
          <w:rStyle w:val="FootnoteReference"/>
        </w:rPr>
        <w:t>*</w:t>
      </w:r>
      <w:r w:rsidRPr="000613D9">
        <w:t xml:space="preserve"> </w:t>
      </w:r>
      <w:r w:rsidRPr="000613D9">
        <w:rPr>
          <w:rFonts w:ascii="Times New Roman" w:hAnsi="Times New Roman"/>
        </w:rPr>
        <w:t xml:space="preserve">The following individuals contributed to this </w:t>
      </w:r>
      <w:r w:rsidR="00990EF1">
        <w:rPr>
          <w:rFonts w:ascii="Times New Roman" w:hAnsi="Times New Roman"/>
        </w:rPr>
        <w:t xml:space="preserve">version and previous versions of this </w:t>
      </w:r>
      <w:r w:rsidRPr="000613D9">
        <w:rPr>
          <w:rFonts w:ascii="Times New Roman" w:hAnsi="Times New Roman"/>
        </w:rPr>
        <w:t xml:space="preserve">document: </w:t>
      </w:r>
      <w:r w:rsidRPr="000613D9">
        <w:rPr>
          <w:rFonts w:ascii="Times New Roman" w:hAnsi="Times New Roman"/>
          <w:lang w:val="de-DE"/>
        </w:rPr>
        <w:t xml:space="preserve">Kathryn Rucker; Steven Schwartz; </w:t>
      </w:r>
      <w:r w:rsidR="00C50299" w:rsidRPr="000613D9">
        <w:rPr>
          <w:rFonts w:ascii="Times New Roman" w:hAnsi="Times New Roman"/>
          <w:lang w:val="de-DE"/>
        </w:rPr>
        <w:t xml:space="preserve">Robert Fleischner; </w:t>
      </w:r>
      <w:r w:rsidR="00990EF1">
        <w:rPr>
          <w:rFonts w:ascii="Times New Roman" w:hAnsi="Times New Roman"/>
          <w:lang w:val="de-DE"/>
        </w:rPr>
        <w:t>Anna Krieger</w:t>
      </w:r>
      <w:r w:rsidR="00054C2A">
        <w:rPr>
          <w:rFonts w:ascii="Times New Roman" w:hAnsi="Times New Roman"/>
          <w:lang w:val="de-DE"/>
        </w:rPr>
        <w:t>;</w:t>
      </w:r>
      <w:r w:rsidR="00990EF1">
        <w:rPr>
          <w:rFonts w:ascii="Times New Roman" w:hAnsi="Times New Roman"/>
          <w:lang w:val="de-DE"/>
        </w:rPr>
        <w:t xml:space="preserve"> </w:t>
      </w:r>
      <w:r w:rsidRPr="000613D9">
        <w:rPr>
          <w:rFonts w:ascii="Times New Roman" w:hAnsi="Times New Roman"/>
        </w:rPr>
        <w:t xml:space="preserve">Jennifer Honig; Phillip Kassel; </w:t>
      </w:r>
      <w:r w:rsidR="00D875FC">
        <w:rPr>
          <w:rFonts w:ascii="Times New Roman" w:hAnsi="Times New Roman"/>
        </w:rPr>
        <w:t>Marlene Sallo</w:t>
      </w:r>
      <w:r w:rsidR="00054C2A">
        <w:rPr>
          <w:rFonts w:ascii="Times New Roman" w:hAnsi="Times New Roman"/>
        </w:rPr>
        <w:t>;</w:t>
      </w:r>
      <w:r w:rsidR="00D875FC">
        <w:rPr>
          <w:rFonts w:ascii="Times New Roman" w:hAnsi="Times New Roman"/>
        </w:rPr>
        <w:t xml:space="preserve"> </w:t>
      </w:r>
      <w:r w:rsidRPr="000613D9">
        <w:rPr>
          <w:rFonts w:ascii="Times New Roman" w:hAnsi="Times New Roman"/>
        </w:rPr>
        <w:t xml:space="preserve">Richard Glassman; </w:t>
      </w:r>
      <w:r w:rsidR="00DC3A8F" w:rsidRPr="000613D9">
        <w:rPr>
          <w:rFonts w:ascii="Times New Roman" w:hAnsi="Times New Roman"/>
        </w:rPr>
        <w:t>Jordan Goldstein</w:t>
      </w:r>
      <w:r w:rsidR="00054C2A">
        <w:rPr>
          <w:rFonts w:ascii="Times New Roman" w:hAnsi="Times New Roman"/>
        </w:rPr>
        <w:t>;</w:t>
      </w:r>
      <w:r w:rsidR="00DC3A8F" w:rsidRPr="000613D9">
        <w:rPr>
          <w:rFonts w:ascii="Times New Roman" w:hAnsi="Times New Roman"/>
        </w:rPr>
        <w:t xml:space="preserve"> </w:t>
      </w:r>
      <w:r w:rsidR="00990EF1">
        <w:rPr>
          <w:rFonts w:ascii="Times New Roman" w:hAnsi="Times New Roman"/>
        </w:rPr>
        <w:t>Mark Larsen</w:t>
      </w:r>
      <w:r w:rsidR="00054C2A">
        <w:rPr>
          <w:rFonts w:ascii="Times New Roman" w:hAnsi="Times New Roman"/>
        </w:rPr>
        <w:t>;</w:t>
      </w:r>
      <w:r w:rsidR="00990EF1">
        <w:rPr>
          <w:rFonts w:ascii="Times New Roman" w:hAnsi="Times New Roman"/>
        </w:rPr>
        <w:t xml:space="preserve"> </w:t>
      </w:r>
      <w:r w:rsidR="00A17D13" w:rsidRPr="000613D9">
        <w:rPr>
          <w:rFonts w:ascii="Times New Roman" w:hAnsi="Times New Roman"/>
        </w:rPr>
        <w:t xml:space="preserve">and </w:t>
      </w:r>
      <w:r w:rsidRPr="000613D9">
        <w:rPr>
          <w:rFonts w:ascii="Times New Roman" w:hAnsi="Times New Roman"/>
        </w:rPr>
        <w:t>Karen Talley</w:t>
      </w:r>
      <w:r w:rsidR="00A17D13" w:rsidRPr="000613D9">
        <w:rPr>
          <w:rFonts w:ascii="Times New Roman" w:hAnsi="Times New Roman"/>
        </w:rPr>
        <w:t>.</w:t>
      </w:r>
      <w:r w:rsidR="00DC3A8F" w:rsidRPr="000613D9">
        <w:rPr>
          <w:rFonts w:ascii="Times New Roman" w:hAnsi="Times New Roman"/>
        </w:rPr>
        <w:t xml:space="preserve"> </w:t>
      </w:r>
    </w:p>
    <w:p w14:paraId="793E4B1E" w14:textId="75AEEE6A" w:rsidR="008E5232" w:rsidRPr="000613D9" w:rsidRDefault="008E5232">
      <w:pPr>
        <w:pStyle w:val="FootnoteText"/>
        <w:rPr>
          <w:sz w:val="22"/>
          <w:szCs w:val="22"/>
        </w:rPr>
      </w:pPr>
    </w:p>
  </w:footnote>
  <w:footnote w:id="3">
    <w:p w14:paraId="15037DD9" w14:textId="1F288E57" w:rsidR="00A302C0" w:rsidRPr="000613D9" w:rsidRDefault="00A302C0" w:rsidP="00A302C0">
      <w:pPr>
        <w:pStyle w:val="NoSpacing"/>
      </w:pPr>
      <w:r w:rsidRPr="000613D9">
        <w:rPr>
          <w:rStyle w:val="FootnoteReference"/>
          <w:rFonts w:ascii="Times New Roman" w:hAnsi="Times New Roman"/>
        </w:rPr>
        <w:footnoteRef/>
      </w:r>
      <w:r w:rsidRPr="000613D9">
        <w:rPr>
          <w:rFonts w:ascii="Times New Roman" w:hAnsi="Times New Roman"/>
        </w:rPr>
        <w:t xml:space="preserve"> Henry J. Steadman </w:t>
      </w:r>
      <w:r w:rsidRPr="000613D9">
        <w:rPr>
          <w:rFonts w:ascii="Times New Roman" w:hAnsi="Times New Roman"/>
          <w:i/>
          <w:iCs/>
        </w:rPr>
        <w:t>et al.</w:t>
      </w:r>
      <w:r w:rsidRPr="000613D9">
        <w:rPr>
          <w:rFonts w:ascii="Times New Roman" w:hAnsi="Times New Roman"/>
        </w:rPr>
        <w:t>,</w:t>
      </w:r>
      <w:r w:rsidRPr="000613D9">
        <w:rPr>
          <w:rFonts w:ascii="Times New Roman" w:hAnsi="Times New Roman"/>
          <w:i/>
          <w:iCs/>
        </w:rPr>
        <w:t xml:space="preserve"> Assessing the New York City Involuntary </w:t>
      </w:r>
      <w:r w:rsidR="001E313A">
        <w:rPr>
          <w:rFonts w:ascii="Times New Roman" w:hAnsi="Times New Roman"/>
          <w:i/>
          <w:iCs/>
        </w:rPr>
        <w:t>O</w:t>
      </w:r>
      <w:r w:rsidRPr="000613D9">
        <w:rPr>
          <w:rFonts w:ascii="Times New Roman" w:hAnsi="Times New Roman"/>
          <w:i/>
          <w:iCs/>
        </w:rPr>
        <w:t xml:space="preserve">utpatient </w:t>
      </w:r>
      <w:r w:rsidR="001E313A">
        <w:rPr>
          <w:rFonts w:ascii="Times New Roman" w:hAnsi="Times New Roman"/>
          <w:i/>
          <w:iCs/>
        </w:rPr>
        <w:t>C</w:t>
      </w:r>
      <w:r w:rsidRPr="000613D9">
        <w:rPr>
          <w:rFonts w:ascii="Times New Roman" w:hAnsi="Times New Roman"/>
          <w:i/>
          <w:iCs/>
        </w:rPr>
        <w:t>ommitment Pilot Program</w:t>
      </w:r>
      <w:r w:rsidRPr="000613D9">
        <w:rPr>
          <w:rFonts w:ascii="Times New Roman" w:hAnsi="Times New Roman"/>
        </w:rPr>
        <w:t>,</w:t>
      </w:r>
      <w:r w:rsidRPr="000613D9">
        <w:rPr>
          <w:rFonts w:ascii="Times New Roman" w:hAnsi="Times New Roman"/>
          <w:i/>
          <w:iCs/>
        </w:rPr>
        <w:t xml:space="preserve"> </w:t>
      </w:r>
      <w:r w:rsidRPr="000613D9">
        <w:rPr>
          <w:rFonts w:ascii="Times New Roman" w:hAnsi="Times New Roman"/>
        </w:rPr>
        <w:t xml:space="preserve">52 Psychiatric Services 330, 335-36 (2001). </w:t>
      </w:r>
      <w:r w:rsidRPr="000613D9">
        <w:rPr>
          <w:rFonts w:ascii="Times New Roman" w:hAnsi="Times New Roman"/>
          <w:color w:val="000000"/>
        </w:rPr>
        <w:t>More recent studies have reinforced earlier findings that involuntary outpatient commitment does not increase compliance, reduce hospitalization rates, or keep down costs</w:t>
      </w:r>
      <w:r w:rsidR="001E313A">
        <w:rPr>
          <w:rFonts w:ascii="Times New Roman" w:hAnsi="Times New Roman"/>
          <w:color w:val="000000"/>
        </w:rPr>
        <w:t>.</w:t>
      </w:r>
      <w:r w:rsidRPr="000613D9">
        <w:rPr>
          <w:rFonts w:ascii="Times New Roman" w:hAnsi="Times New Roman"/>
          <w:i/>
          <w:iCs/>
          <w:color w:val="000000"/>
        </w:rPr>
        <w:t xml:space="preserve"> </w:t>
      </w:r>
      <w:r w:rsidRPr="000613D9">
        <w:rPr>
          <w:rFonts w:ascii="Times New Roman" w:hAnsi="Times New Roman"/>
        </w:rPr>
        <w:t xml:space="preserve">Jorun Rugkasa, </w:t>
      </w:r>
      <w:r w:rsidRPr="000613D9">
        <w:rPr>
          <w:rFonts w:ascii="Times New Roman" w:hAnsi="Times New Roman"/>
          <w:i/>
        </w:rPr>
        <w:t>Effectiveness of Community Treatment Orders: The International Evidence</w:t>
      </w:r>
      <w:r w:rsidRPr="000613D9">
        <w:rPr>
          <w:rFonts w:ascii="Times New Roman" w:hAnsi="Times New Roman"/>
          <w:iCs/>
        </w:rPr>
        <w:t>,</w:t>
      </w:r>
      <w:r w:rsidRPr="000613D9">
        <w:rPr>
          <w:rFonts w:ascii="Times New Roman" w:hAnsi="Times New Roman"/>
          <w:i/>
        </w:rPr>
        <w:t xml:space="preserve"> </w:t>
      </w:r>
      <w:r w:rsidR="00ED2C1E">
        <w:rPr>
          <w:rFonts w:ascii="Times New Roman" w:hAnsi="Times New Roman"/>
          <w:iCs/>
        </w:rPr>
        <w:t xml:space="preserve">61 </w:t>
      </w:r>
      <w:r w:rsidRPr="00491FDE">
        <w:rPr>
          <w:rFonts w:ascii="Times New Roman" w:hAnsi="Times New Roman"/>
          <w:smallCaps/>
        </w:rPr>
        <w:t>Canadian J</w:t>
      </w:r>
      <w:r w:rsidR="00491FDE">
        <w:rPr>
          <w:rFonts w:ascii="Times New Roman" w:hAnsi="Times New Roman"/>
          <w:smallCaps/>
        </w:rPr>
        <w:t>.</w:t>
      </w:r>
      <w:r w:rsidRPr="00491FDE">
        <w:rPr>
          <w:rFonts w:ascii="Times New Roman" w:hAnsi="Times New Roman"/>
          <w:smallCaps/>
        </w:rPr>
        <w:t xml:space="preserve"> of Psychiatry</w:t>
      </w:r>
      <w:r w:rsidRPr="000613D9">
        <w:rPr>
          <w:rFonts w:ascii="Times New Roman" w:hAnsi="Times New Roman"/>
        </w:rPr>
        <w:t xml:space="preserve"> </w:t>
      </w:r>
      <w:r w:rsidR="00ED2C1E">
        <w:rPr>
          <w:rFonts w:ascii="Times New Roman" w:hAnsi="Times New Roman"/>
        </w:rPr>
        <w:t xml:space="preserve">1 </w:t>
      </w:r>
      <w:r w:rsidRPr="000613D9">
        <w:rPr>
          <w:rFonts w:ascii="Times New Roman" w:hAnsi="Times New Roman"/>
        </w:rPr>
        <w:t xml:space="preserve">(2016) (2016 meta-analysis of clinical literature around the globe found that outpatient treatment schemes do not achieve their stated goals of keeping people in treatment and out of hospitals); Tom </w:t>
      </w:r>
      <w:r w:rsidRPr="000613D9">
        <w:rPr>
          <w:rFonts w:ascii="Times New Roman" w:hAnsi="Times New Roman"/>
          <w:w w:val="110"/>
        </w:rPr>
        <w:t xml:space="preserve">Burns </w:t>
      </w:r>
      <w:r w:rsidRPr="000613D9">
        <w:rPr>
          <w:rFonts w:ascii="Times New Roman" w:hAnsi="Times New Roman"/>
          <w:i/>
          <w:iCs/>
          <w:w w:val="105"/>
        </w:rPr>
        <w:t>et al.</w:t>
      </w:r>
      <w:r w:rsidRPr="000613D9">
        <w:rPr>
          <w:rFonts w:ascii="Times New Roman" w:hAnsi="Times New Roman"/>
          <w:w w:val="105"/>
        </w:rPr>
        <w:t>,</w:t>
      </w:r>
      <w:r w:rsidRPr="000613D9">
        <w:rPr>
          <w:rFonts w:ascii="Times New Roman" w:hAnsi="Times New Roman"/>
          <w:i/>
          <w:iCs/>
          <w:w w:val="105"/>
        </w:rPr>
        <w:t xml:space="preserve"> Coercion in </w:t>
      </w:r>
      <w:r w:rsidR="001E313A">
        <w:rPr>
          <w:rFonts w:ascii="Times New Roman" w:hAnsi="Times New Roman"/>
          <w:i/>
          <w:iCs/>
          <w:w w:val="105"/>
        </w:rPr>
        <w:t>M</w:t>
      </w:r>
      <w:r w:rsidRPr="000613D9">
        <w:rPr>
          <w:rFonts w:ascii="Times New Roman" w:hAnsi="Times New Roman"/>
          <w:i/>
          <w:iCs/>
          <w:w w:val="105"/>
        </w:rPr>
        <w:t xml:space="preserve">ental </w:t>
      </w:r>
      <w:r w:rsidR="001E313A">
        <w:rPr>
          <w:rFonts w:ascii="Times New Roman" w:hAnsi="Times New Roman"/>
          <w:i/>
          <w:iCs/>
          <w:w w:val="105"/>
        </w:rPr>
        <w:t>H</w:t>
      </w:r>
      <w:r w:rsidRPr="000613D9">
        <w:rPr>
          <w:rFonts w:ascii="Times New Roman" w:hAnsi="Times New Roman"/>
          <w:i/>
          <w:iCs/>
          <w:w w:val="105"/>
        </w:rPr>
        <w:t xml:space="preserve">ealth: </w:t>
      </w:r>
      <w:r w:rsidR="001E313A">
        <w:rPr>
          <w:rFonts w:ascii="Times New Roman" w:hAnsi="Times New Roman"/>
          <w:i/>
          <w:iCs/>
          <w:w w:val="105"/>
        </w:rPr>
        <w:t>A</w:t>
      </w:r>
      <w:r w:rsidRPr="000613D9">
        <w:rPr>
          <w:rFonts w:ascii="Times New Roman" w:hAnsi="Times New Roman"/>
          <w:i/>
          <w:iCs/>
          <w:w w:val="105"/>
        </w:rPr>
        <w:t xml:space="preserve"> </w:t>
      </w:r>
      <w:r w:rsidR="001E313A">
        <w:rPr>
          <w:rFonts w:ascii="Times New Roman" w:hAnsi="Times New Roman"/>
          <w:i/>
          <w:iCs/>
          <w:w w:val="105"/>
        </w:rPr>
        <w:t>T</w:t>
      </w:r>
      <w:r w:rsidRPr="000613D9">
        <w:rPr>
          <w:rFonts w:ascii="Times New Roman" w:hAnsi="Times New Roman"/>
          <w:i/>
          <w:iCs/>
          <w:w w:val="105"/>
        </w:rPr>
        <w:t xml:space="preserve">rial of the </w:t>
      </w:r>
      <w:r w:rsidR="001E313A">
        <w:rPr>
          <w:rFonts w:ascii="Times New Roman" w:hAnsi="Times New Roman"/>
          <w:i/>
          <w:iCs/>
          <w:w w:val="105"/>
        </w:rPr>
        <w:t>E</w:t>
      </w:r>
      <w:r w:rsidRPr="000613D9">
        <w:rPr>
          <w:rFonts w:ascii="Times New Roman" w:hAnsi="Times New Roman"/>
          <w:i/>
          <w:iCs/>
          <w:w w:val="105"/>
        </w:rPr>
        <w:t xml:space="preserve">ffectiveness of </w:t>
      </w:r>
      <w:r w:rsidR="001E313A">
        <w:rPr>
          <w:rFonts w:ascii="Times New Roman" w:hAnsi="Times New Roman"/>
          <w:i/>
          <w:iCs/>
          <w:w w:val="105"/>
        </w:rPr>
        <w:t>C</w:t>
      </w:r>
      <w:r w:rsidRPr="000613D9">
        <w:rPr>
          <w:rFonts w:ascii="Times New Roman" w:hAnsi="Times New Roman"/>
          <w:i/>
          <w:iCs/>
          <w:w w:val="105"/>
        </w:rPr>
        <w:t xml:space="preserve">ommunity </w:t>
      </w:r>
      <w:r w:rsidR="001E313A">
        <w:rPr>
          <w:rFonts w:ascii="Times New Roman" w:hAnsi="Times New Roman"/>
          <w:i/>
          <w:iCs/>
          <w:w w:val="105"/>
        </w:rPr>
        <w:t>T</w:t>
      </w:r>
      <w:r w:rsidRPr="000613D9">
        <w:rPr>
          <w:rFonts w:ascii="Times New Roman" w:hAnsi="Times New Roman"/>
          <w:i/>
          <w:iCs/>
          <w:w w:val="105"/>
        </w:rPr>
        <w:t xml:space="preserve">reatment </w:t>
      </w:r>
      <w:r w:rsidR="001E313A">
        <w:rPr>
          <w:rFonts w:ascii="Times New Roman" w:hAnsi="Times New Roman"/>
          <w:i/>
          <w:iCs/>
          <w:w w:val="105"/>
        </w:rPr>
        <w:t>O</w:t>
      </w:r>
      <w:r w:rsidRPr="000613D9">
        <w:rPr>
          <w:rFonts w:ascii="Times New Roman" w:hAnsi="Times New Roman"/>
          <w:i/>
          <w:iCs/>
          <w:w w:val="105"/>
        </w:rPr>
        <w:t xml:space="preserve">rders </w:t>
      </w:r>
      <w:r w:rsidRPr="000613D9">
        <w:rPr>
          <w:rFonts w:ascii="Times New Roman" w:hAnsi="Times New Roman"/>
          <w:i/>
          <w:iCs/>
          <w:spacing w:val="-9"/>
          <w:w w:val="105"/>
        </w:rPr>
        <w:t xml:space="preserve">and an </w:t>
      </w:r>
      <w:r w:rsidR="001E313A">
        <w:rPr>
          <w:rFonts w:ascii="Times New Roman" w:hAnsi="Times New Roman"/>
          <w:i/>
          <w:iCs/>
          <w:spacing w:val="-9"/>
          <w:w w:val="105"/>
        </w:rPr>
        <w:t>I</w:t>
      </w:r>
      <w:r w:rsidRPr="000613D9">
        <w:rPr>
          <w:rFonts w:ascii="Times New Roman" w:hAnsi="Times New Roman"/>
          <w:i/>
          <w:iCs/>
          <w:spacing w:val="-9"/>
          <w:w w:val="105"/>
        </w:rPr>
        <w:t xml:space="preserve">nvestigation of </w:t>
      </w:r>
      <w:r w:rsidR="001E313A">
        <w:rPr>
          <w:rFonts w:ascii="Times New Roman" w:hAnsi="Times New Roman"/>
          <w:i/>
          <w:iCs/>
          <w:spacing w:val="-9"/>
          <w:w w:val="105"/>
        </w:rPr>
        <w:t>I</w:t>
      </w:r>
      <w:r w:rsidRPr="000613D9">
        <w:rPr>
          <w:rFonts w:ascii="Times New Roman" w:hAnsi="Times New Roman"/>
          <w:i/>
          <w:iCs/>
          <w:spacing w:val="-9"/>
          <w:w w:val="105"/>
        </w:rPr>
        <w:t xml:space="preserve">nformal </w:t>
      </w:r>
      <w:r w:rsidR="001E313A">
        <w:rPr>
          <w:rFonts w:ascii="Times New Roman" w:hAnsi="Times New Roman"/>
          <w:i/>
          <w:iCs/>
          <w:spacing w:val="-9"/>
          <w:w w:val="105"/>
        </w:rPr>
        <w:t>C</w:t>
      </w:r>
      <w:r w:rsidRPr="000613D9">
        <w:rPr>
          <w:rFonts w:ascii="Times New Roman" w:hAnsi="Times New Roman"/>
          <w:i/>
          <w:iCs/>
          <w:spacing w:val="-9"/>
          <w:w w:val="105"/>
        </w:rPr>
        <w:t xml:space="preserve">oercion in </w:t>
      </w:r>
      <w:r w:rsidR="001E313A">
        <w:rPr>
          <w:rFonts w:ascii="Times New Roman" w:hAnsi="Times New Roman"/>
          <w:i/>
          <w:iCs/>
          <w:spacing w:val="-9"/>
          <w:w w:val="105"/>
        </w:rPr>
        <w:t>C</w:t>
      </w:r>
      <w:r w:rsidRPr="000613D9">
        <w:rPr>
          <w:rFonts w:ascii="Times New Roman" w:hAnsi="Times New Roman"/>
          <w:i/>
          <w:iCs/>
          <w:spacing w:val="-9"/>
          <w:w w:val="105"/>
        </w:rPr>
        <w:t xml:space="preserve">ommunity </w:t>
      </w:r>
      <w:r w:rsidR="001E313A">
        <w:rPr>
          <w:rFonts w:ascii="Times New Roman" w:hAnsi="Times New Roman"/>
          <w:i/>
          <w:iCs/>
          <w:spacing w:val="-9"/>
          <w:w w:val="105"/>
        </w:rPr>
        <w:t>M</w:t>
      </w:r>
      <w:r w:rsidRPr="000613D9">
        <w:rPr>
          <w:rFonts w:ascii="Times New Roman" w:hAnsi="Times New Roman"/>
          <w:i/>
          <w:iCs/>
          <w:spacing w:val="-9"/>
          <w:w w:val="105"/>
        </w:rPr>
        <w:t xml:space="preserve">ental </w:t>
      </w:r>
      <w:r w:rsidR="001E313A">
        <w:rPr>
          <w:rFonts w:ascii="Times New Roman" w:hAnsi="Times New Roman"/>
          <w:i/>
          <w:iCs/>
          <w:spacing w:val="-9"/>
          <w:w w:val="105"/>
        </w:rPr>
        <w:t>H</w:t>
      </w:r>
      <w:r w:rsidRPr="000613D9">
        <w:rPr>
          <w:rFonts w:ascii="Times New Roman" w:hAnsi="Times New Roman"/>
          <w:i/>
          <w:iCs/>
          <w:spacing w:val="-9"/>
          <w:w w:val="105"/>
        </w:rPr>
        <w:t xml:space="preserve">ealth </w:t>
      </w:r>
      <w:r w:rsidR="001E313A">
        <w:rPr>
          <w:rFonts w:ascii="Times New Roman" w:hAnsi="Times New Roman"/>
          <w:i/>
          <w:iCs/>
          <w:spacing w:val="-9"/>
          <w:w w:val="105"/>
        </w:rPr>
        <w:t>C</w:t>
      </w:r>
      <w:r w:rsidRPr="000613D9">
        <w:rPr>
          <w:rFonts w:ascii="Times New Roman" w:hAnsi="Times New Roman"/>
          <w:i/>
          <w:iCs/>
          <w:spacing w:val="-9"/>
          <w:w w:val="105"/>
        </w:rPr>
        <w:t xml:space="preserve">are, </w:t>
      </w:r>
      <w:r w:rsidRPr="00491FDE">
        <w:rPr>
          <w:rFonts w:ascii="Times New Roman" w:hAnsi="Times New Roman"/>
          <w:bCs/>
          <w:smallCaps/>
          <w:spacing w:val="-9"/>
          <w:w w:val="105"/>
        </w:rPr>
        <w:t>NIHR</w:t>
      </w:r>
      <w:r w:rsidRPr="00491FDE">
        <w:rPr>
          <w:rFonts w:ascii="Times New Roman" w:hAnsi="Times New Roman"/>
          <w:b/>
          <w:bCs/>
          <w:smallCaps/>
          <w:spacing w:val="-9"/>
          <w:w w:val="105"/>
        </w:rPr>
        <w:t xml:space="preserve"> </w:t>
      </w:r>
      <w:r w:rsidRPr="00491FDE">
        <w:rPr>
          <w:rFonts w:ascii="Times New Roman" w:hAnsi="Times New Roman"/>
          <w:smallCaps/>
          <w:spacing w:val="-9"/>
          <w:w w:val="110"/>
        </w:rPr>
        <w:t>Journals Library</w:t>
      </w:r>
      <w:r w:rsidRPr="000613D9">
        <w:rPr>
          <w:rFonts w:ascii="Times New Roman" w:hAnsi="Times New Roman"/>
          <w:spacing w:val="-9"/>
          <w:w w:val="110"/>
        </w:rPr>
        <w:t xml:space="preserve"> (Dec. 2016) (</w:t>
      </w:r>
      <w:r w:rsidRPr="000613D9">
        <w:rPr>
          <w:rFonts w:ascii="Times New Roman" w:hAnsi="Times New Roman"/>
          <w:w w:val="105"/>
        </w:rPr>
        <w:t xml:space="preserve">involuntary commitment orders did not reduce hospitalization and there was no evidence of cost-effectiveness); </w:t>
      </w:r>
      <w:r w:rsidRPr="000613D9">
        <w:rPr>
          <w:rStyle w:val="normaltextrun"/>
          <w:color w:val="212121"/>
          <w:shd w:val="clear" w:color="auto" w:fill="FFFFFF"/>
        </w:rPr>
        <w:t>Phoebe Barnett </w:t>
      </w:r>
      <w:r w:rsidRPr="000613D9">
        <w:rPr>
          <w:rStyle w:val="normaltextrun"/>
          <w:i/>
          <w:iCs/>
          <w:color w:val="212121"/>
          <w:shd w:val="clear" w:color="auto" w:fill="FFFFFF"/>
        </w:rPr>
        <w:t>et al.</w:t>
      </w:r>
      <w:r w:rsidRPr="000613D9">
        <w:rPr>
          <w:rStyle w:val="normaltextrun"/>
          <w:color w:val="212121"/>
          <w:shd w:val="clear" w:color="auto" w:fill="FFFFFF"/>
        </w:rPr>
        <w:t>, </w:t>
      </w:r>
      <w:r w:rsidRPr="000613D9">
        <w:rPr>
          <w:rStyle w:val="normaltextrun"/>
          <w:i/>
          <w:iCs/>
          <w:color w:val="000000"/>
          <w:shd w:val="clear" w:color="auto" w:fill="FFFFFF"/>
        </w:rPr>
        <w:t xml:space="preserve">Compulsory </w:t>
      </w:r>
      <w:r w:rsidR="001E313A">
        <w:rPr>
          <w:rStyle w:val="normaltextrun"/>
          <w:i/>
          <w:iCs/>
          <w:color w:val="000000"/>
          <w:shd w:val="clear" w:color="auto" w:fill="FFFFFF"/>
        </w:rPr>
        <w:t>C</w:t>
      </w:r>
      <w:r w:rsidRPr="000613D9">
        <w:rPr>
          <w:rStyle w:val="normaltextrun"/>
          <w:i/>
          <w:iCs/>
          <w:color w:val="000000"/>
          <w:shd w:val="clear" w:color="auto" w:fill="FFFFFF"/>
        </w:rPr>
        <w:t xml:space="preserve">ommunity </w:t>
      </w:r>
      <w:r w:rsidR="001E313A">
        <w:rPr>
          <w:rStyle w:val="normaltextrun"/>
          <w:i/>
          <w:iCs/>
          <w:color w:val="000000"/>
          <w:shd w:val="clear" w:color="auto" w:fill="FFFFFF"/>
        </w:rPr>
        <w:t>T</w:t>
      </w:r>
      <w:r w:rsidRPr="000613D9">
        <w:rPr>
          <w:rStyle w:val="normaltextrun"/>
          <w:i/>
          <w:iCs/>
          <w:color w:val="000000"/>
          <w:shd w:val="clear" w:color="auto" w:fill="FFFFFF"/>
        </w:rPr>
        <w:t xml:space="preserve">reatment to </w:t>
      </w:r>
      <w:r w:rsidR="001E313A">
        <w:rPr>
          <w:rStyle w:val="normaltextrun"/>
          <w:i/>
          <w:iCs/>
          <w:color w:val="000000"/>
          <w:shd w:val="clear" w:color="auto" w:fill="FFFFFF"/>
        </w:rPr>
        <w:t>R</w:t>
      </w:r>
      <w:r w:rsidRPr="000613D9">
        <w:rPr>
          <w:rStyle w:val="normaltextrun"/>
          <w:i/>
          <w:iCs/>
          <w:color w:val="000000"/>
          <w:shd w:val="clear" w:color="auto" w:fill="FFFFFF"/>
        </w:rPr>
        <w:t xml:space="preserve">educe </w:t>
      </w:r>
      <w:r w:rsidR="001E313A">
        <w:rPr>
          <w:rStyle w:val="normaltextrun"/>
          <w:i/>
          <w:iCs/>
          <w:color w:val="000000"/>
          <w:shd w:val="clear" w:color="auto" w:fill="FFFFFF"/>
        </w:rPr>
        <w:t>R</w:t>
      </w:r>
      <w:r w:rsidRPr="000613D9">
        <w:rPr>
          <w:rStyle w:val="normaltextrun"/>
          <w:i/>
          <w:iCs/>
          <w:color w:val="000000"/>
          <w:shd w:val="clear" w:color="auto" w:fill="FFFFFF"/>
        </w:rPr>
        <w:t xml:space="preserve">eadmission to </w:t>
      </w:r>
      <w:r w:rsidR="001E313A">
        <w:rPr>
          <w:rStyle w:val="normaltextrun"/>
          <w:i/>
          <w:iCs/>
          <w:color w:val="000000"/>
          <w:shd w:val="clear" w:color="auto" w:fill="FFFFFF"/>
        </w:rPr>
        <w:t>H</w:t>
      </w:r>
      <w:r w:rsidRPr="000613D9">
        <w:rPr>
          <w:rStyle w:val="normaltextrun"/>
          <w:i/>
          <w:iCs/>
          <w:color w:val="000000"/>
          <w:shd w:val="clear" w:color="auto" w:fill="FFFFFF"/>
        </w:rPr>
        <w:t xml:space="preserve">ospital and </w:t>
      </w:r>
      <w:r w:rsidR="001E313A">
        <w:rPr>
          <w:rStyle w:val="normaltextrun"/>
          <w:i/>
          <w:iCs/>
          <w:color w:val="000000"/>
          <w:shd w:val="clear" w:color="auto" w:fill="FFFFFF"/>
        </w:rPr>
        <w:t>I</w:t>
      </w:r>
      <w:r w:rsidRPr="000613D9">
        <w:rPr>
          <w:rStyle w:val="normaltextrun"/>
          <w:i/>
          <w:iCs/>
          <w:color w:val="000000"/>
          <w:shd w:val="clear" w:color="auto" w:fill="FFFFFF"/>
        </w:rPr>
        <w:t xml:space="preserve">ncrease </w:t>
      </w:r>
      <w:r w:rsidR="001E313A">
        <w:rPr>
          <w:rStyle w:val="normaltextrun"/>
          <w:i/>
          <w:iCs/>
          <w:color w:val="000000"/>
          <w:shd w:val="clear" w:color="auto" w:fill="FFFFFF"/>
        </w:rPr>
        <w:t>E</w:t>
      </w:r>
      <w:r w:rsidRPr="000613D9">
        <w:rPr>
          <w:rStyle w:val="normaltextrun"/>
          <w:i/>
          <w:iCs/>
          <w:color w:val="000000"/>
          <w:shd w:val="clear" w:color="auto" w:fill="FFFFFF"/>
        </w:rPr>
        <w:t xml:space="preserve">ngagement with </w:t>
      </w:r>
      <w:r w:rsidR="001E313A">
        <w:rPr>
          <w:rStyle w:val="normaltextrun"/>
          <w:i/>
          <w:iCs/>
          <w:color w:val="000000"/>
          <w:shd w:val="clear" w:color="auto" w:fill="FFFFFF"/>
        </w:rPr>
        <w:t>C</w:t>
      </w:r>
      <w:r w:rsidRPr="000613D9">
        <w:rPr>
          <w:rStyle w:val="normaltextrun"/>
          <w:i/>
          <w:iCs/>
          <w:color w:val="000000"/>
          <w:shd w:val="clear" w:color="auto" w:fill="FFFFFF"/>
        </w:rPr>
        <w:t xml:space="preserve">ommunity </w:t>
      </w:r>
      <w:r w:rsidR="001E313A">
        <w:rPr>
          <w:rStyle w:val="normaltextrun"/>
          <w:i/>
          <w:iCs/>
          <w:color w:val="000000"/>
          <w:shd w:val="clear" w:color="auto" w:fill="FFFFFF"/>
        </w:rPr>
        <w:t>C</w:t>
      </w:r>
      <w:r w:rsidRPr="000613D9">
        <w:rPr>
          <w:rStyle w:val="normaltextrun"/>
          <w:i/>
          <w:iCs/>
          <w:color w:val="000000"/>
          <w:shd w:val="clear" w:color="auto" w:fill="FFFFFF"/>
        </w:rPr>
        <w:t xml:space="preserve">are in </w:t>
      </w:r>
      <w:r w:rsidR="001E313A">
        <w:rPr>
          <w:rStyle w:val="normaltextrun"/>
          <w:i/>
          <w:iCs/>
          <w:color w:val="000000"/>
          <w:shd w:val="clear" w:color="auto" w:fill="FFFFFF"/>
        </w:rPr>
        <w:t>P</w:t>
      </w:r>
      <w:r w:rsidRPr="000613D9">
        <w:rPr>
          <w:rStyle w:val="normaltextrun"/>
          <w:i/>
          <w:iCs/>
          <w:color w:val="000000"/>
          <w:shd w:val="clear" w:color="auto" w:fill="FFFFFF"/>
        </w:rPr>
        <w:t xml:space="preserve">eople with </w:t>
      </w:r>
      <w:r w:rsidR="001E313A">
        <w:rPr>
          <w:rStyle w:val="normaltextrun"/>
          <w:i/>
          <w:iCs/>
          <w:color w:val="000000"/>
          <w:shd w:val="clear" w:color="auto" w:fill="FFFFFF"/>
        </w:rPr>
        <w:t>M</w:t>
      </w:r>
      <w:r w:rsidRPr="000613D9">
        <w:rPr>
          <w:rStyle w:val="normaltextrun"/>
          <w:i/>
          <w:iCs/>
          <w:color w:val="000000"/>
          <w:shd w:val="clear" w:color="auto" w:fill="FFFFFF"/>
        </w:rPr>
        <w:t xml:space="preserve">ental </w:t>
      </w:r>
      <w:r w:rsidR="001E313A">
        <w:rPr>
          <w:rStyle w:val="normaltextrun"/>
          <w:i/>
          <w:iCs/>
          <w:color w:val="000000"/>
          <w:shd w:val="clear" w:color="auto" w:fill="FFFFFF"/>
        </w:rPr>
        <w:t>I</w:t>
      </w:r>
      <w:r w:rsidRPr="000613D9">
        <w:rPr>
          <w:rStyle w:val="normaltextrun"/>
          <w:i/>
          <w:iCs/>
          <w:color w:val="000000"/>
          <w:shd w:val="clear" w:color="auto" w:fill="FFFFFF"/>
        </w:rPr>
        <w:t xml:space="preserve">llness: a </w:t>
      </w:r>
      <w:r w:rsidR="001E313A">
        <w:rPr>
          <w:rStyle w:val="normaltextrun"/>
          <w:i/>
          <w:iCs/>
          <w:color w:val="000000"/>
          <w:shd w:val="clear" w:color="auto" w:fill="FFFFFF"/>
        </w:rPr>
        <w:t>S</w:t>
      </w:r>
      <w:r w:rsidRPr="000613D9">
        <w:rPr>
          <w:rStyle w:val="normaltextrun"/>
          <w:i/>
          <w:iCs/>
          <w:color w:val="000000"/>
          <w:shd w:val="clear" w:color="auto" w:fill="FFFFFF"/>
        </w:rPr>
        <w:t xml:space="preserve">ystematic </w:t>
      </w:r>
      <w:r w:rsidR="001E313A">
        <w:rPr>
          <w:rStyle w:val="normaltextrun"/>
          <w:i/>
          <w:iCs/>
          <w:color w:val="000000"/>
          <w:shd w:val="clear" w:color="auto" w:fill="FFFFFF"/>
        </w:rPr>
        <w:t>R</w:t>
      </w:r>
      <w:r w:rsidRPr="000613D9">
        <w:rPr>
          <w:rStyle w:val="normaltextrun"/>
          <w:i/>
          <w:iCs/>
          <w:color w:val="000000"/>
          <w:shd w:val="clear" w:color="auto" w:fill="FFFFFF"/>
        </w:rPr>
        <w:t xml:space="preserve">eview and </w:t>
      </w:r>
      <w:r w:rsidR="001E313A">
        <w:rPr>
          <w:rStyle w:val="normaltextrun"/>
          <w:i/>
          <w:iCs/>
          <w:color w:val="000000"/>
          <w:shd w:val="clear" w:color="auto" w:fill="FFFFFF"/>
        </w:rPr>
        <w:t>M</w:t>
      </w:r>
      <w:r w:rsidRPr="000613D9">
        <w:rPr>
          <w:rStyle w:val="normaltextrun"/>
          <w:i/>
          <w:iCs/>
          <w:color w:val="000000"/>
          <w:shd w:val="clear" w:color="auto" w:fill="FFFFFF"/>
        </w:rPr>
        <w:t>eta-</w:t>
      </w:r>
      <w:r w:rsidR="001E313A">
        <w:rPr>
          <w:rStyle w:val="normaltextrun"/>
          <w:i/>
          <w:iCs/>
          <w:color w:val="000000"/>
          <w:shd w:val="clear" w:color="auto" w:fill="FFFFFF"/>
        </w:rPr>
        <w:t>A</w:t>
      </w:r>
      <w:r w:rsidRPr="000613D9">
        <w:rPr>
          <w:rStyle w:val="normaltextrun"/>
          <w:i/>
          <w:iCs/>
          <w:color w:val="000000"/>
          <w:shd w:val="clear" w:color="auto" w:fill="FFFFFF"/>
        </w:rPr>
        <w:t>nalysis</w:t>
      </w:r>
      <w:r w:rsidRPr="000613D9">
        <w:rPr>
          <w:rStyle w:val="normaltextrun"/>
          <w:color w:val="000000"/>
          <w:shd w:val="clear" w:color="auto" w:fill="FFFFFF"/>
        </w:rPr>
        <w:t xml:space="preserve">, </w:t>
      </w:r>
      <w:r w:rsidRPr="00491FDE">
        <w:rPr>
          <w:rStyle w:val="normaltextrun"/>
          <w:smallCaps/>
          <w:color w:val="000000"/>
          <w:shd w:val="clear" w:color="auto" w:fill="FFFFFF"/>
        </w:rPr>
        <w:t>Lancet Psychiatry</w:t>
      </w:r>
      <w:r w:rsidRPr="000613D9">
        <w:rPr>
          <w:rStyle w:val="normaltextrun"/>
          <w:color w:val="000000"/>
          <w:shd w:val="clear" w:color="auto" w:fill="FFFFFF"/>
        </w:rPr>
        <w:t xml:space="preserve"> (Dec. 2018) (</w:t>
      </w:r>
      <w:r w:rsidRPr="000613D9">
        <w:rPr>
          <w:rStyle w:val="normaltextrun"/>
          <w:color w:val="212121"/>
        </w:rPr>
        <w:t>no consistent evidence that </w:t>
      </w:r>
      <w:r w:rsidRPr="000613D9">
        <w:rPr>
          <w:rStyle w:val="normaltextrun"/>
          <w:color w:val="000000"/>
        </w:rPr>
        <w:t>c</w:t>
      </w:r>
      <w:r w:rsidRPr="000613D9">
        <w:rPr>
          <w:rStyle w:val="normaltextrun"/>
          <w:color w:val="212121"/>
        </w:rPr>
        <w:t>ompulsory community treatment reduces hospital readmission or length of inpatient stay, although it might have some benefit in enforcing use of outpatient treatment or increasing service provision, or both).</w:t>
      </w:r>
      <w:r w:rsidRPr="000613D9">
        <w:rPr>
          <w:rStyle w:val="eop"/>
          <w:color w:val="212121"/>
          <w:shd w:val="clear" w:color="auto" w:fill="FFFFFF"/>
        </w:rPr>
        <w:t> </w:t>
      </w:r>
    </w:p>
  </w:footnote>
  <w:footnote w:id="4">
    <w:p w14:paraId="41FFA308" w14:textId="466C30BF" w:rsidR="00A302C0" w:rsidRPr="000613D9" w:rsidRDefault="00A302C0" w:rsidP="00A302C0">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See</w:t>
      </w:r>
      <w:r w:rsidRPr="000613D9">
        <w:rPr>
          <w:sz w:val="22"/>
          <w:szCs w:val="22"/>
        </w:rPr>
        <w:t xml:space="preserve"> Rugkasa, </w:t>
      </w:r>
      <w:r w:rsidRPr="000613D9">
        <w:rPr>
          <w:i/>
          <w:sz w:val="22"/>
          <w:szCs w:val="22"/>
        </w:rPr>
        <w:t>supra</w:t>
      </w:r>
      <w:r w:rsidRPr="000613D9">
        <w:rPr>
          <w:sz w:val="22"/>
          <w:szCs w:val="22"/>
        </w:rPr>
        <w:t xml:space="preserve"> </w:t>
      </w:r>
      <w:r w:rsidR="004C0F65">
        <w:rPr>
          <w:sz w:val="22"/>
          <w:szCs w:val="22"/>
        </w:rPr>
        <w:t xml:space="preserve">note 1 </w:t>
      </w:r>
      <w:r w:rsidRPr="000613D9">
        <w:rPr>
          <w:sz w:val="22"/>
          <w:szCs w:val="22"/>
        </w:rPr>
        <w:t xml:space="preserve">(community treatment orders significantly increase the time individuals spent under coercion, but do not improve patient outcomes or yield clinical or social benefit, with the sole exception being a reduction of likelihood of falling victim to crime); Tom </w:t>
      </w:r>
      <w:r w:rsidRPr="000613D9">
        <w:rPr>
          <w:w w:val="110"/>
          <w:sz w:val="22"/>
          <w:szCs w:val="22"/>
        </w:rPr>
        <w:t xml:space="preserve">Burns </w:t>
      </w:r>
      <w:r w:rsidRPr="000613D9">
        <w:rPr>
          <w:i/>
          <w:iCs/>
          <w:w w:val="105"/>
          <w:sz w:val="22"/>
          <w:szCs w:val="22"/>
        </w:rPr>
        <w:t>et al.</w:t>
      </w:r>
      <w:r w:rsidRPr="000613D9">
        <w:rPr>
          <w:w w:val="105"/>
          <w:sz w:val="22"/>
          <w:szCs w:val="22"/>
        </w:rPr>
        <w:t>,</w:t>
      </w:r>
      <w:r w:rsidRPr="000613D9">
        <w:rPr>
          <w:i/>
          <w:iCs/>
          <w:w w:val="105"/>
          <w:sz w:val="22"/>
          <w:szCs w:val="22"/>
        </w:rPr>
        <w:t xml:space="preserve"> supra</w:t>
      </w:r>
      <w:r w:rsidR="004C0F65">
        <w:rPr>
          <w:w w:val="105"/>
          <w:sz w:val="22"/>
          <w:szCs w:val="22"/>
        </w:rPr>
        <w:t xml:space="preserve"> note 1</w:t>
      </w:r>
      <w:r w:rsidRPr="000613D9">
        <w:rPr>
          <w:i/>
          <w:iCs/>
          <w:w w:val="105"/>
          <w:sz w:val="22"/>
          <w:szCs w:val="22"/>
        </w:rPr>
        <w:t xml:space="preserve"> </w:t>
      </w:r>
      <w:r w:rsidRPr="000613D9">
        <w:rPr>
          <w:w w:val="105"/>
          <w:sz w:val="22"/>
          <w:szCs w:val="22"/>
        </w:rPr>
        <w:t>(involuntary outpatient commitment did not improve patient outcomes)</w:t>
      </w:r>
      <w:r w:rsidRPr="000613D9">
        <w:rPr>
          <w:i/>
          <w:iCs/>
          <w:w w:val="105"/>
          <w:sz w:val="22"/>
          <w:szCs w:val="22"/>
        </w:rPr>
        <w:t>; s</w:t>
      </w:r>
      <w:r w:rsidRPr="000613D9">
        <w:rPr>
          <w:i/>
          <w:iCs/>
          <w:spacing w:val="-8"/>
          <w:w w:val="105"/>
          <w:sz w:val="22"/>
          <w:szCs w:val="22"/>
        </w:rPr>
        <w:t>ee also</w:t>
      </w:r>
      <w:r w:rsidRPr="000613D9">
        <w:rPr>
          <w:spacing w:val="-8"/>
          <w:w w:val="105"/>
          <w:sz w:val="22"/>
          <w:szCs w:val="22"/>
        </w:rPr>
        <w:t xml:space="preserve"> M. Susan </w:t>
      </w:r>
      <w:r w:rsidRPr="000613D9">
        <w:rPr>
          <w:spacing w:val="-8"/>
          <w:w w:val="110"/>
          <w:sz w:val="22"/>
          <w:szCs w:val="22"/>
        </w:rPr>
        <w:t xml:space="preserve">Ridgely </w:t>
      </w:r>
      <w:r w:rsidRPr="000613D9">
        <w:rPr>
          <w:i/>
          <w:iCs/>
          <w:spacing w:val="-8"/>
          <w:w w:val="105"/>
          <w:sz w:val="22"/>
          <w:szCs w:val="22"/>
        </w:rPr>
        <w:t>et al.</w:t>
      </w:r>
      <w:r w:rsidRPr="000613D9">
        <w:rPr>
          <w:spacing w:val="-8"/>
          <w:w w:val="105"/>
          <w:sz w:val="22"/>
          <w:szCs w:val="22"/>
        </w:rPr>
        <w:t>,</w:t>
      </w:r>
      <w:r w:rsidRPr="000613D9">
        <w:rPr>
          <w:i/>
          <w:iCs/>
          <w:spacing w:val="-8"/>
          <w:w w:val="105"/>
          <w:sz w:val="22"/>
          <w:szCs w:val="22"/>
        </w:rPr>
        <w:t xml:space="preserve"> The Effectiveness of Involuntary Outpatient Treatment: </w:t>
      </w:r>
      <w:r w:rsidRPr="000613D9">
        <w:rPr>
          <w:i/>
          <w:iCs/>
          <w:spacing w:val="-6"/>
          <w:w w:val="105"/>
          <w:sz w:val="22"/>
          <w:szCs w:val="22"/>
        </w:rPr>
        <w:t xml:space="preserve">Empirical Evidence and the Experience of Eight States, </w:t>
      </w:r>
      <w:r w:rsidRPr="000613D9">
        <w:rPr>
          <w:spacing w:val="-6"/>
          <w:w w:val="110"/>
          <w:sz w:val="22"/>
          <w:szCs w:val="22"/>
        </w:rPr>
        <w:t>RAND Instit. for Civil Justice (2001)</w:t>
      </w:r>
      <w:r w:rsidR="0087725F">
        <w:rPr>
          <w:spacing w:val="-6"/>
          <w:w w:val="110"/>
          <w:sz w:val="22"/>
          <w:szCs w:val="22"/>
        </w:rPr>
        <w:t xml:space="preserve"> (“Rand Report”)</w:t>
      </w:r>
      <w:r w:rsidRPr="000613D9">
        <w:rPr>
          <w:spacing w:val="-6"/>
          <w:w w:val="110"/>
          <w:sz w:val="22"/>
          <w:szCs w:val="22"/>
        </w:rPr>
        <w:t xml:space="preserve">; Steve R. Kisely </w:t>
      </w:r>
      <w:r w:rsidRPr="000613D9">
        <w:rPr>
          <w:i/>
          <w:iCs/>
          <w:spacing w:val="-1"/>
          <w:w w:val="105"/>
          <w:sz w:val="22"/>
          <w:szCs w:val="22"/>
        </w:rPr>
        <w:t>et al.</w:t>
      </w:r>
      <w:r w:rsidRPr="000613D9">
        <w:rPr>
          <w:spacing w:val="-1"/>
          <w:w w:val="105"/>
          <w:sz w:val="22"/>
          <w:szCs w:val="22"/>
        </w:rPr>
        <w:t>,</w:t>
      </w:r>
      <w:r w:rsidRPr="000613D9">
        <w:rPr>
          <w:i/>
          <w:iCs/>
          <w:spacing w:val="-1"/>
          <w:w w:val="105"/>
          <w:sz w:val="22"/>
          <w:szCs w:val="22"/>
        </w:rPr>
        <w:t xml:space="preserve"> Compulsory </w:t>
      </w:r>
      <w:r w:rsidR="001E313A">
        <w:rPr>
          <w:i/>
          <w:iCs/>
          <w:spacing w:val="-1"/>
          <w:w w:val="105"/>
          <w:sz w:val="22"/>
          <w:szCs w:val="22"/>
        </w:rPr>
        <w:t>C</w:t>
      </w:r>
      <w:r w:rsidRPr="000613D9">
        <w:rPr>
          <w:i/>
          <w:iCs/>
          <w:spacing w:val="-1"/>
          <w:w w:val="105"/>
          <w:sz w:val="22"/>
          <w:szCs w:val="22"/>
        </w:rPr>
        <w:t xml:space="preserve">ommunity and </w:t>
      </w:r>
      <w:r w:rsidR="001E313A">
        <w:rPr>
          <w:i/>
          <w:iCs/>
          <w:spacing w:val="-1"/>
          <w:w w:val="105"/>
          <w:sz w:val="22"/>
          <w:szCs w:val="22"/>
        </w:rPr>
        <w:t>I</w:t>
      </w:r>
      <w:r w:rsidRPr="000613D9">
        <w:rPr>
          <w:i/>
          <w:iCs/>
          <w:spacing w:val="-1"/>
          <w:w w:val="105"/>
          <w:sz w:val="22"/>
          <w:szCs w:val="22"/>
        </w:rPr>
        <w:t xml:space="preserve">nvoluntary </w:t>
      </w:r>
      <w:r w:rsidR="001E313A">
        <w:rPr>
          <w:i/>
          <w:iCs/>
          <w:spacing w:val="-1"/>
          <w:w w:val="105"/>
          <w:sz w:val="22"/>
          <w:szCs w:val="22"/>
        </w:rPr>
        <w:t>O</w:t>
      </w:r>
      <w:r w:rsidRPr="000613D9">
        <w:rPr>
          <w:i/>
          <w:iCs/>
          <w:spacing w:val="-1"/>
          <w:w w:val="105"/>
          <w:sz w:val="22"/>
          <w:szCs w:val="22"/>
        </w:rPr>
        <w:t xml:space="preserve">utpatient </w:t>
      </w:r>
      <w:r w:rsidR="001E313A">
        <w:rPr>
          <w:i/>
          <w:iCs/>
          <w:spacing w:val="-1"/>
          <w:w w:val="105"/>
          <w:sz w:val="22"/>
          <w:szCs w:val="22"/>
        </w:rPr>
        <w:t>T</w:t>
      </w:r>
      <w:r w:rsidRPr="000613D9">
        <w:rPr>
          <w:i/>
          <w:iCs/>
          <w:spacing w:val="-1"/>
          <w:w w:val="105"/>
          <w:sz w:val="22"/>
          <w:szCs w:val="22"/>
        </w:rPr>
        <w:t xml:space="preserve">reatment for </w:t>
      </w:r>
      <w:r w:rsidR="001E313A">
        <w:rPr>
          <w:i/>
          <w:iCs/>
          <w:spacing w:val="-1"/>
          <w:w w:val="105"/>
          <w:sz w:val="22"/>
          <w:szCs w:val="22"/>
        </w:rPr>
        <w:t>P</w:t>
      </w:r>
      <w:r w:rsidRPr="000613D9">
        <w:rPr>
          <w:i/>
          <w:iCs/>
          <w:spacing w:val="-1"/>
          <w:w w:val="105"/>
          <w:sz w:val="22"/>
          <w:szCs w:val="22"/>
        </w:rPr>
        <w:t xml:space="preserve">eople with </w:t>
      </w:r>
      <w:r w:rsidR="001E313A">
        <w:rPr>
          <w:i/>
          <w:iCs/>
          <w:spacing w:val="-1"/>
          <w:w w:val="105"/>
          <w:sz w:val="22"/>
          <w:szCs w:val="22"/>
        </w:rPr>
        <w:t>S</w:t>
      </w:r>
      <w:r w:rsidRPr="000613D9">
        <w:rPr>
          <w:i/>
          <w:iCs/>
          <w:spacing w:val="-1"/>
          <w:w w:val="105"/>
          <w:sz w:val="22"/>
          <w:szCs w:val="22"/>
        </w:rPr>
        <w:t xml:space="preserve">evere </w:t>
      </w:r>
      <w:r w:rsidR="001E313A">
        <w:rPr>
          <w:i/>
          <w:iCs/>
          <w:spacing w:val="-1"/>
          <w:w w:val="105"/>
          <w:sz w:val="22"/>
          <w:szCs w:val="22"/>
        </w:rPr>
        <w:t>M</w:t>
      </w:r>
      <w:r w:rsidRPr="000613D9">
        <w:rPr>
          <w:i/>
          <w:iCs/>
          <w:spacing w:val="-1"/>
          <w:w w:val="105"/>
          <w:sz w:val="22"/>
          <w:szCs w:val="22"/>
        </w:rPr>
        <w:t xml:space="preserve">ental </w:t>
      </w:r>
      <w:r w:rsidR="001E313A">
        <w:rPr>
          <w:i/>
          <w:iCs/>
          <w:spacing w:val="-8"/>
          <w:w w:val="105"/>
          <w:sz w:val="22"/>
          <w:szCs w:val="22"/>
        </w:rPr>
        <w:t>D</w:t>
      </w:r>
      <w:r w:rsidRPr="000613D9">
        <w:rPr>
          <w:i/>
          <w:iCs/>
          <w:spacing w:val="-8"/>
          <w:w w:val="105"/>
          <w:sz w:val="22"/>
          <w:szCs w:val="22"/>
        </w:rPr>
        <w:t xml:space="preserve">isorders, </w:t>
      </w:r>
      <w:r w:rsidR="008E7494">
        <w:rPr>
          <w:spacing w:val="-8"/>
          <w:w w:val="105"/>
          <w:sz w:val="22"/>
          <w:szCs w:val="22"/>
        </w:rPr>
        <w:t xml:space="preserve">3 </w:t>
      </w:r>
      <w:r w:rsidRPr="00B57F18">
        <w:rPr>
          <w:smallCaps/>
          <w:spacing w:val="-8"/>
          <w:w w:val="110"/>
          <w:sz w:val="22"/>
          <w:szCs w:val="22"/>
        </w:rPr>
        <w:t>Cochrane Database of Systematic Reviews</w:t>
      </w:r>
      <w:r w:rsidRPr="000613D9">
        <w:rPr>
          <w:spacing w:val="-8"/>
          <w:w w:val="110"/>
          <w:sz w:val="22"/>
          <w:szCs w:val="22"/>
        </w:rPr>
        <w:t xml:space="preserve"> </w:t>
      </w:r>
      <w:r w:rsidR="008E7494">
        <w:rPr>
          <w:spacing w:val="-8"/>
          <w:w w:val="110"/>
          <w:sz w:val="22"/>
          <w:szCs w:val="22"/>
        </w:rPr>
        <w:t xml:space="preserve">3 </w:t>
      </w:r>
      <w:r w:rsidRPr="000613D9">
        <w:rPr>
          <w:spacing w:val="-8"/>
          <w:w w:val="110"/>
          <w:sz w:val="22"/>
          <w:szCs w:val="22"/>
        </w:rPr>
        <w:t>(2017)</w:t>
      </w:r>
      <w:r w:rsidRPr="000613D9">
        <w:rPr>
          <w:spacing w:val="-4"/>
          <w:w w:val="105"/>
          <w:sz w:val="22"/>
          <w:szCs w:val="22"/>
        </w:rPr>
        <w:t xml:space="preserve">, Rachel Churchill </w:t>
      </w:r>
      <w:r w:rsidRPr="000613D9">
        <w:rPr>
          <w:i/>
          <w:iCs/>
          <w:spacing w:val="-4"/>
          <w:w w:val="105"/>
          <w:sz w:val="22"/>
          <w:szCs w:val="22"/>
        </w:rPr>
        <w:t>et al</w:t>
      </w:r>
      <w:r w:rsidRPr="000613D9">
        <w:rPr>
          <w:spacing w:val="-4"/>
          <w:w w:val="105"/>
          <w:sz w:val="22"/>
          <w:szCs w:val="22"/>
        </w:rPr>
        <w:t xml:space="preserve">., </w:t>
      </w:r>
      <w:r w:rsidRPr="000613D9">
        <w:rPr>
          <w:i/>
          <w:iCs/>
          <w:spacing w:val="-4"/>
          <w:w w:val="105"/>
          <w:sz w:val="22"/>
          <w:szCs w:val="22"/>
        </w:rPr>
        <w:t xml:space="preserve">International </w:t>
      </w:r>
      <w:r w:rsidR="001E313A">
        <w:rPr>
          <w:i/>
          <w:iCs/>
          <w:spacing w:val="-4"/>
          <w:w w:val="105"/>
          <w:sz w:val="22"/>
          <w:szCs w:val="22"/>
        </w:rPr>
        <w:t>E</w:t>
      </w:r>
      <w:r w:rsidRPr="000613D9">
        <w:rPr>
          <w:i/>
          <w:iCs/>
          <w:spacing w:val="-4"/>
          <w:w w:val="105"/>
          <w:sz w:val="22"/>
          <w:szCs w:val="22"/>
        </w:rPr>
        <w:t xml:space="preserve">xperiences of </w:t>
      </w:r>
      <w:r w:rsidR="001E313A">
        <w:rPr>
          <w:i/>
          <w:iCs/>
          <w:spacing w:val="-4"/>
          <w:w w:val="105"/>
          <w:sz w:val="22"/>
          <w:szCs w:val="22"/>
        </w:rPr>
        <w:t>U</w:t>
      </w:r>
      <w:r w:rsidRPr="000613D9">
        <w:rPr>
          <w:i/>
          <w:iCs/>
          <w:spacing w:val="-4"/>
          <w:w w:val="105"/>
          <w:sz w:val="22"/>
          <w:szCs w:val="22"/>
        </w:rPr>
        <w:t xml:space="preserve">sing </w:t>
      </w:r>
      <w:r w:rsidR="001E313A">
        <w:rPr>
          <w:i/>
          <w:iCs/>
          <w:spacing w:val="-4"/>
          <w:w w:val="105"/>
          <w:sz w:val="22"/>
          <w:szCs w:val="22"/>
        </w:rPr>
        <w:t>C</w:t>
      </w:r>
      <w:r w:rsidRPr="000613D9">
        <w:rPr>
          <w:i/>
          <w:iCs/>
          <w:spacing w:val="-4"/>
          <w:w w:val="105"/>
          <w:sz w:val="22"/>
          <w:szCs w:val="22"/>
        </w:rPr>
        <w:t xml:space="preserve">ommunity </w:t>
      </w:r>
      <w:r w:rsidR="001E313A">
        <w:rPr>
          <w:i/>
          <w:iCs/>
          <w:spacing w:val="-4"/>
          <w:w w:val="105"/>
          <w:sz w:val="22"/>
          <w:szCs w:val="22"/>
        </w:rPr>
        <w:t>T</w:t>
      </w:r>
      <w:r w:rsidRPr="000613D9">
        <w:rPr>
          <w:i/>
          <w:iCs/>
          <w:spacing w:val="-4"/>
          <w:w w:val="105"/>
          <w:sz w:val="22"/>
          <w:szCs w:val="22"/>
        </w:rPr>
        <w:t xml:space="preserve">reatment </w:t>
      </w:r>
      <w:r w:rsidR="001E313A">
        <w:rPr>
          <w:i/>
          <w:iCs/>
          <w:spacing w:val="-4"/>
          <w:w w:val="105"/>
          <w:sz w:val="22"/>
          <w:szCs w:val="22"/>
        </w:rPr>
        <w:t>O</w:t>
      </w:r>
      <w:r w:rsidRPr="000613D9">
        <w:rPr>
          <w:i/>
          <w:iCs/>
          <w:spacing w:val="-4"/>
          <w:w w:val="105"/>
          <w:sz w:val="22"/>
          <w:szCs w:val="22"/>
        </w:rPr>
        <w:t xml:space="preserve">rders </w:t>
      </w:r>
      <w:r w:rsidRPr="000613D9">
        <w:rPr>
          <w:spacing w:val="-4"/>
          <w:w w:val="105"/>
          <w:sz w:val="22"/>
          <w:szCs w:val="22"/>
        </w:rPr>
        <w:t>(2007),</w:t>
      </w:r>
      <w:r w:rsidR="00153691">
        <w:rPr>
          <w:spacing w:val="-4"/>
          <w:w w:val="105"/>
          <w:sz w:val="22"/>
          <w:szCs w:val="22"/>
        </w:rPr>
        <w:t xml:space="preserve"> </w:t>
      </w:r>
      <w:hyperlink r:id="rId1" w:history="1">
        <w:r w:rsidRPr="000613D9">
          <w:rPr>
            <w:rStyle w:val="Hyperlink"/>
            <w:spacing w:val="-4"/>
            <w:w w:val="105"/>
            <w:sz w:val="22"/>
            <w:szCs w:val="22"/>
          </w:rPr>
          <w:t>https://psychrights.org/research/digest/OutPtCmmtmnt/UKRptonCTO.pdf</w:t>
        </w:r>
      </w:hyperlink>
      <w:r w:rsidRPr="000613D9">
        <w:rPr>
          <w:spacing w:val="-4"/>
          <w:w w:val="105"/>
          <w:sz w:val="22"/>
          <w:szCs w:val="22"/>
        </w:rPr>
        <w:t xml:space="preserve"> (</w:t>
      </w:r>
      <w:r w:rsidRPr="000613D9">
        <w:rPr>
          <w:sz w:val="22"/>
          <w:szCs w:val="22"/>
        </w:rPr>
        <w:t>there is currently no robust evidence about either the positive or negative effects of CTOs on key outcomes, including hospital readmission, length of hospital stay, improved medication compliance, or patients’ quality of life).</w:t>
      </w:r>
    </w:p>
  </w:footnote>
  <w:footnote w:id="5">
    <w:p w14:paraId="071E4266" w14:textId="4C26F10F" w:rsidR="00A302C0" w:rsidRPr="000613D9" w:rsidRDefault="00A302C0" w:rsidP="00E9259E">
      <w:pPr>
        <w:pStyle w:val="CM8"/>
        <w:spacing w:line="240" w:lineRule="auto"/>
        <w:rPr>
          <w:sz w:val="22"/>
          <w:szCs w:val="22"/>
        </w:rPr>
      </w:pPr>
      <w:r w:rsidRPr="000613D9">
        <w:rPr>
          <w:rStyle w:val="FootnoteReference"/>
          <w:sz w:val="22"/>
          <w:szCs w:val="22"/>
        </w:rPr>
        <w:footnoteRef/>
      </w:r>
      <w:r w:rsidRPr="000613D9">
        <w:rPr>
          <w:sz w:val="22"/>
          <w:szCs w:val="22"/>
        </w:rPr>
        <w:t xml:space="preserve"> </w:t>
      </w:r>
      <w:r w:rsidRPr="000613D9">
        <w:rPr>
          <w:i/>
          <w:iCs/>
          <w:color w:val="000000"/>
          <w:sz w:val="22"/>
          <w:szCs w:val="22"/>
        </w:rPr>
        <w:t>See</w:t>
      </w:r>
      <w:r w:rsidRPr="000613D9">
        <w:rPr>
          <w:color w:val="000000"/>
          <w:sz w:val="22"/>
          <w:szCs w:val="22"/>
        </w:rPr>
        <w:t xml:space="preserve"> Marvin Swartz </w:t>
      </w:r>
      <w:r w:rsidRPr="000613D9">
        <w:rPr>
          <w:i/>
          <w:iCs/>
          <w:color w:val="000000"/>
          <w:sz w:val="22"/>
          <w:szCs w:val="22"/>
        </w:rPr>
        <w:t>et al</w:t>
      </w:r>
      <w:r w:rsidRPr="000613D9">
        <w:rPr>
          <w:color w:val="000000"/>
          <w:sz w:val="22"/>
          <w:szCs w:val="22"/>
        </w:rPr>
        <w:t>.,</w:t>
      </w:r>
      <w:r w:rsidRPr="000613D9">
        <w:rPr>
          <w:i/>
          <w:iCs/>
          <w:color w:val="000000"/>
          <w:sz w:val="22"/>
          <w:szCs w:val="22"/>
        </w:rPr>
        <w:t xml:space="preserve"> A Randomized Controlled Trial of Outpatient Commitment in North Carolina, </w:t>
      </w:r>
      <w:r w:rsidRPr="000613D9">
        <w:rPr>
          <w:color w:val="000000"/>
          <w:sz w:val="22"/>
          <w:szCs w:val="22"/>
        </w:rPr>
        <w:t xml:space="preserve">52 Psychiatric Services 325, 329 (2001); Sharon Carpinello, </w:t>
      </w:r>
      <w:r w:rsidR="00B57F18" w:rsidRPr="000613D9">
        <w:rPr>
          <w:color w:val="000000"/>
          <w:sz w:val="22"/>
          <w:szCs w:val="22"/>
        </w:rPr>
        <w:t>Office of Mental Health NY</w:t>
      </w:r>
      <w:r w:rsidR="00B57F18">
        <w:rPr>
          <w:color w:val="000000"/>
          <w:sz w:val="22"/>
          <w:szCs w:val="22"/>
        </w:rPr>
        <w:t xml:space="preserve">, </w:t>
      </w:r>
      <w:r w:rsidRPr="000613D9">
        <w:rPr>
          <w:i/>
          <w:iCs/>
          <w:color w:val="000000"/>
          <w:sz w:val="22"/>
          <w:szCs w:val="22"/>
        </w:rPr>
        <w:t>Kendra's Law Final Report on the Status of Assisted Outpatient Treatment</w:t>
      </w:r>
      <w:r w:rsidRPr="000613D9">
        <w:rPr>
          <w:color w:val="000000"/>
          <w:sz w:val="22"/>
          <w:szCs w:val="22"/>
        </w:rPr>
        <w:t xml:space="preserve">, (2005); Marvin Swartz </w:t>
      </w:r>
      <w:r w:rsidRPr="000613D9">
        <w:rPr>
          <w:i/>
          <w:iCs/>
          <w:color w:val="000000"/>
          <w:sz w:val="22"/>
          <w:szCs w:val="22"/>
        </w:rPr>
        <w:t>et al</w:t>
      </w:r>
      <w:r w:rsidRPr="000613D9">
        <w:rPr>
          <w:color w:val="000000"/>
          <w:sz w:val="22"/>
          <w:szCs w:val="22"/>
        </w:rPr>
        <w:t>.</w:t>
      </w:r>
      <w:r w:rsidRPr="000613D9">
        <w:rPr>
          <w:i/>
          <w:iCs/>
          <w:color w:val="000000"/>
          <w:sz w:val="22"/>
          <w:szCs w:val="22"/>
        </w:rPr>
        <w:t xml:space="preserve">, </w:t>
      </w:r>
      <w:r w:rsidR="00B57F18" w:rsidRPr="000613D9">
        <w:rPr>
          <w:color w:val="000000"/>
          <w:sz w:val="22"/>
          <w:szCs w:val="22"/>
        </w:rPr>
        <w:t>Office of Mental Health NY</w:t>
      </w:r>
      <w:r w:rsidR="00B57F18">
        <w:rPr>
          <w:color w:val="000000"/>
          <w:sz w:val="22"/>
          <w:szCs w:val="22"/>
        </w:rPr>
        <w:t xml:space="preserve">, </w:t>
      </w:r>
      <w:r w:rsidRPr="000613D9">
        <w:rPr>
          <w:i/>
          <w:iCs/>
          <w:color w:val="000000"/>
          <w:sz w:val="22"/>
          <w:szCs w:val="22"/>
        </w:rPr>
        <w:t>New York State Assisted Outpatient Treatment Program Evaluation</w:t>
      </w:r>
      <w:r w:rsidR="00B57F18">
        <w:rPr>
          <w:color w:val="000000"/>
          <w:sz w:val="22"/>
          <w:szCs w:val="22"/>
        </w:rPr>
        <w:t xml:space="preserve"> </w:t>
      </w:r>
      <w:r w:rsidRPr="000613D9">
        <w:rPr>
          <w:color w:val="000000"/>
          <w:sz w:val="22"/>
          <w:szCs w:val="22"/>
        </w:rPr>
        <w:t>(2009)</w:t>
      </w:r>
      <w:r w:rsidRPr="000613D9">
        <w:rPr>
          <w:i/>
          <w:iCs/>
          <w:color w:val="000000"/>
          <w:sz w:val="22"/>
          <w:szCs w:val="22"/>
        </w:rPr>
        <w:t xml:space="preserve">; see also </w:t>
      </w:r>
      <w:r w:rsidRPr="00B56CE6">
        <w:rPr>
          <w:color w:val="000000"/>
          <w:sz w:val="22"/>
          <w:szCs w:val="22"/>
        </w:rPr>
        <w:t>RAND Report</w:t>
      </w:r>
      <w:r w:rsidRPr="000613D9">
        <w:rPr>
          <w:i/>
          <w:iCs/>
          <w:color w:val="000000"/>
          <w:sz w:val="22"/>
          <w:szCs w:val="22"/>
        </w:rPr>
        <w:t>, supra</w:t>
      </w:r>
      <w:r w:rsidR="00153691">
        <w:rPr>
          <w:color w:val="000000"/>
          <w:sz w:val="22"/>
          <w:szCs w:val="22"/>
        </w:rPr>
        <w:t xml:space="preserve"> note </w:t>
      </w:r>
      <w:r w:rsidR="0087725F">
        <w:rPr>
          <w:color w:val="000000"/>
          <w:sz w:val="22"/>
          <w:szCs w:val="22"/>
        </w:rPr>
        <w:t>2</w:t>
      </w:r>
      <w:r w:rsidRPr="000613D9">
        <w:rPr>
          <w:i/>
          <w:iCs/>
          <w:color w:val="000000"/>
          <w:sz w:val="22"/>
          <w:szCs w:val="22"/>
        </w:rPr>
        <w:t xml:space="preserve">, </w:t>
      </w:r>
      <w:r w:rsidRPr="000613D9">
        <w:rPr>
          <w:color w:val="000000"/>
          <w:sz w:val="22"/>
          <w:szCs w:val="22"/>
        </w:rPr>
        <w:t xml:space="preserve">at 99 (“There is no evidence that simply amending the commitment statute to add an outpatient commitment program will make benefits accrue to persons with severe mental illness”); Jo C. Phelan </w:t>
      </w:r>
      <w:r w:rsidRPr="000613D9">
        <w:rPr>
          <w:i/>
          <w:iCs/>
          <w:color w:val="000000"/>
          <w:sz w:val="22"/>
          <w:szCs w:val="22"/>
        </w:rPr>
        <w:t>et al</w:t>
      </w:r>
      <w:r w:rsidRPr="000613D9">
        <w:rPr>
          <w:color w:val="000000"/>
          <w:sz w:val="22"/>
          <w:szCs w:val="22"/>
        </w:rPr>
        <w:t xml:space="preserve">., </w:t>
      </w:r>
      <w:r w:rsidRPr="000613D9">
        <w:rPr>
          <w:i/>
          <w:iCs/>
          <w:color w:val="000000"/>
          <w:sz w:val="22"/>
          <w:szCs w:val="22"/>
        </w:rPr>
        <w:t>Effectiveness and Outcomes of Assisted Outpatient Treatment in New York State</w:t>
      </w:r>
      <w:r w:rsidRPr="000613D9">
        <w:rPr>
          <w:color w:val="000000"/>
          <w:sz w:val="22"/>
          <w:szCs w:val="22"/>
        </w:rPr>
        <w:t xml:space="preserve">, </w:t>
      </w:r>
      <w:r w:rsidRPr="00B57F18">
        <w:rPr>
          <w:smallCaps/>
          <w:color w:val="000000"/>
          <w:sz w:val="22"/>
          <w:szCs w:val="22"/>
        </w:rPr>
        <w:t>Psychiatric Services</w:t>
      </w:r>
      <w:r w:rsidRPr="000613D9">
        <w:rPr>
          <w:color w:val="000000"/>
          <w:sz w:val="22"/>
          <w:szCs w:val="22"/>
        </w:rPr>
        <w:t xml:space="preserve"> 137</w:t>
      </w:r>
      <w:r w:rsidR="00C37BAB">
        <w:rPr>
          <w:color w:val="000000"/>
          <w:sz w:val="22"/>
          <w:szCs w:val="22"/>
        </w:rPr>
        <w:t>,</w:t>
      </w:r>
      <w:r w:rsidRPr="000613D9">
        <w:rPr>
          <w:color w:val="000000"/>
          <w:sz w:val="22"/>
          <w:szCs w:val="22"/>
        </w:rPr>
        <w:t xml:space="preserve"> 137 </w:t>
      </w:r>
      <w:r w:rsidRPr="000613D9">
        <w:rPr>
          <w:sz w:val="22"/>
          <w:szCs w:val="22"/>
        </w:rPr>
        <w:t>(2010) (although there were “modest” improvements in lives of test subjects, given</w:t>
      </w:r>
      <w:r w:rsidRPr="000613D9">
        <w:rPr>
          <w:color w:val="656565"/>
          <w:sz w:val="22"/>
          <w:szCs w:val="22"/>
        </w:rPr>
        <w:t xml:space="preserve"> “</w:t>
      </w:r>
      <w:r w:rsidRPr="000613D9">
        <w:rPr>
          <w:color w:val="000000"/>
          <w:sz w:val="22"/>
          <w:szCs w:val="22"/>
        </w:rPr>
        <w:t xml:space="preserve">treatment and other enhancements” </w:t>
      </w:r>
      <w:r w:rsidRPr="000613D9">
        <w:rPr>
          <w:sz w:val="22"/>
          <w:szCs w:val="22"/>
        </w:rPr>
        <w:t xml:space="preserve">included in outpatient program, evidence does “not support the expansion of coercion in psychiatric treatment”); Marvin Swartz, </w:t>
      </w:r>
      <w:r w:rsidRPr="000613D9">
        <w:rPr>
          <w:i/>
          <w:iCs/>
          <w:sz w:val="22"/>
          <w:szCs w:val="22"/>
        </w:rPr>
        <w:t xml:space="preserve">Assisted Outpatient Treatment (aka Involuntary outpatient commitment): The Data and the Controversy </w:t>
      </w:r>
      <w:r w:rsidRPr="000613D9">
        <w:rPr>
          <w:sz w:val="22"/>
          <w:szCs w:val="22"/>
        </w:rPr>
        <w:t xml:space="preserve">(2017 presentation) (summarizing findings of a study of the New York State program, </w:t>
      </w:r>
      <w:r w:rsidRPr="000613D9">
        <w:rPr>
          <w:w w:val="105"/>
          <w:sz w:val="22"/>
          <w:szCs w:val="22"/>
        </w:rPr>
        <w:t xml:space="preserve">noted that benefits of </w:t>
      </w:r>
      <w:r w:rsidRPr="000613D9">
        <w:rPr>
          <w:color w:val="000000"/>
          <w:sz w:val="22"/>
          <w:szCs w:val="22"/>
        </w:rPr>
        <w:t xml:space="preserve">involuntary outpatient commitment </w:t>
      </w:r>
      <w:r w:rsidRPr="000613D9">
        <w:rPr>
          <w:w w:val="105"/>
          <w:sz w:val="22"/>
          <w:szCs w:val="22"/>
        </w:rPr>
        <w:t>may derive from the prioritization of patients with court orders over those without them, as a court order "exerts a critical effect on service providers”).</w:t>
      </w:r>
    </w:p>
  </w:footnote>
  <w:footnote w:id="6">
    <w:p w14:paraId="28102BC6" w14:textId="7742EABA" w:rsidR="00B44DB7" w:rsidRPr="000613D9" w:rsidRDefault="00B44DB7" w:rsidP="00B44DB7">
      <w:pPr>
        <w:pStyle w:val="FootnoteText"/>
        <w:rPr>
          <w:sz w:val="22"/>
          <w:szCs w:val="22"/>
        </w:rPr>
      </w:pPr>
      <w:r w:rsidRPr="000613D9">
        <w:rPr>
          <w:rStyle w:val="FootnoteReference"/>
          <w:sz w:val="22"/>
          <w:szCs w:val="22"/>
        </w:rPr>
        <w:footnoteRef/>
      </w:r>
      <w:r w:rsidRPr="000613D9">
        <w:rPr>
          <w:sz w:val="22"/>
          <w:szCs w:val="22"/>
        </w:rPr>
        <w:t xml:space="preserve"> Steven P. Segal, </w:t>
      </w:r>
      <w:r w:rsidRPr="000613D9">
        <w:rPr>
          <w:i/>
          <w:iCs/>
          <w:sz w:val="22"/>
          <w:szCs w:val="22"/>
        </w:rPr>
        <w:t>Protecting</w:t>
      </w:r>
      <w:r w:rsidRPr="000613D9">
        <w:rPr>
          <w:sz w:val="22"/>
          <w:szCs w:val="22"/>
        </w:rPr>
        <w:t xml:space="preserve"> </w:t>
      </w:r>
      <w:r w:rsidRPr="00D16FF2">
        <w:rPr>
          <w:i/>
          <w:iCs/>
          <w:sz w:val="22"/>
          <w:szCs w:val="22"/>
        </w:rPr>
        <w:t>Health and Safety with Needed-Treatment: The Effectiveness of Outpatient Commitment</w:t>
      </w:r>
      <w:r w:rsidRPr="000613D9">
        <w:rPr>
          <w:sz w:val="22"/>
          <w:szCs w:val="22"/>
        </w:rPr>
        <w:t xml:space="preserve">, </w:t>
      </w:r>
      <w:r>
        <w:rPr>
          <w:sz w:val="22"/>
          <w:szCs w:val="22"/>
        </w:rPr>
        <w:t xml:space="preserve">93 </w:t>
      </w:r>
      <w:r w:rsidRPr="00B57F18">
        <w:rPr>
          <w:smallCaps/>
          <w:sz w:val="22"/>
          <w:szCs w:val="22"/>
        </w:rPr>
        <w:t>Psychiatry Q.</w:t>
      </w:r>
      <w:r w:rsidRPr="000613D9">
        <w:rPr>
          <w:sz w:val="22"/>
          <w:szCs w:val="22"/>
        </w:rPr>
        <w:t xml:space="preserve"> </w:t>
      </w:r>
      <w:r w:rsidR="00E87811">
        <w:rPr>
          <w:sz w:val="22"/>
          <w:szCs w:val="22"/>
        </w:rPr>
        <w:t>55</w:t>
      </w:r>
      <w:r>
        <w:rPr>
          <w:sz w:val="22"/>
          <w:szCs w:val="22"/>
        </w:rPr>
        <w:t xml:space="preserve"> </w:t>
      </w:r>
      <w:r w:rsidRPr="000613D9">
        <w:rPr>
          <w:sz w:val="22"/>
          <w:szCs w:val="22"/>
        </w:rPr>
        <w:t xml:space="preserve">(Mar. 2022). </w:t>
      </w:r>
    </w:p>
  </w:footnote>
  <w:footnote w:id="7">
    <w:p w14:paraId="51BFB202" w14:textId="5C7EA4DF" w:rsidR="00D80D53" w:rsidRPr="000613D9" w:rsidRDefault="00A302C0" w:rsidP="00A302C0">
      <w:pPr>
        <w:pStyle w:val="FootnoteText"/>
        <w:rPr>
          <w:sz w:val="22"/>
          <w:szCs w:val="22"/>
        </w:rPr>
      </w:pPr>
      <w:r w:rsidRPr="000613D9">
        <w:rPr>
          <w:rStyle w:val="FootnoteReference"/>
          <w:sz w:val="22"/>
          <w:szCs w:val="22"/>
        </w:rPr>
        <w:footnoteRef/>
      </w:r>
      <w:r w:rsidRPr="000613D9">
        <w:rPr>
          <w:sz w:val="22"/>
          <w:szCs w:val="22"/>
        </w:rPr>
        <w:t xml:space="preserve"> </w:t>
      </w:r>
      <w:r w:rsidR="00877825">
        <w:rPr>
          <w:i/>
          <w:iCs/>
          <w:sz w:val="22"/>
          <w:szCs w:val="22"/>
        </w:rPr>
        <w:t>S</w:t>
      </w:r>
      <w:r w:rsidR="003A690B" w:rsidRPr="000613D9">
        <w:rPr>
          <w:i/>
          <w:iCs/>
          <w:sz w:val="22"/>
          <w:szCs w:val="22"/>
        </w:rPr>
        <w:t xml:space="preserve">ee also </w:t>
      </w:r>
      <w:r w:rsidR="00D3171F" w:rsidRPr="000613D9">
        <w:rPr>
          <w:sz w:val="22"/>
          <w:szCs w:val="22"/>
        </w:rPr>
        <w:t>Steven P. Segal,</w:t>
      </w:r>
      <w:r w:rsidR="00D3171F" w:rsidRPr="000613D9">
        <w:rPr>
          <w:i/>
          <w:iCs/>
          <w:sz w:val="22"/>
          <w:szCs w:val="22"/>
        </w:rPr>
        <w:t xml:space="preserve"> Ho</w:t>
      </w:r>
      <w:r w:rsidR="009F0028" w:rsidRPr="000613D9">
        <w:rPr>
          <w:i/>
          <w:iCs/>
          <w:sz w:val="22"/>
          <w:szCs w:val="22"/>
        </w:rPr>
        <w:t>spital Utilization Outcomes Following Assign</w:t>
      </w:r>
      <w:r w:rsidR="001428E2" w:rsidRPr="000613D9">
        <w:rPr>
          <w:i/>
          <w:iCs/>
          <w:sz w:val="22"/>
          <w:szCs w:val="22"/>
        </w:rPr>
        <w:t>ment to Outpatient Commitment</w:t>
      </w:r>
      <w:r w:rsidR="00097811" w:rsidRPr="000613D9">
        <w:rPr>
          <w:sz w:val="22"/>
          <w:szCs w:val="22"/>
        </w:rPr>
        <w:t xml:space="preserve">, </w:t>
      </w:r>
      <w:r w:rsidR="002333A7" w:rsidRPr="000613D9">
        <w:rPr>
          <w:sz w:val="22"/>
          <w:szCs w:val="22"/>
        </w:rPr>
        <w:t xml:space="preserve">48 </w:t>
      </w:r>
      <w:r w:rsidR="00C14C2F" w:rsidRPr="00B57F18">
        <w:rPr>
          <w:smallCaps/>
          <w:sz w:val="22"/>
          <w:szCs w:val="22"/>
        </w:rPr>
        <w:t>Adm. Policy Ment</w:t>
      </w:r>
      <w:r w:rsidR="00D16FF2" w:rsidRPr="00B57F18">
        <w:rPr>
          <w:smallCaps/>
          <w:sz w:val="22"/>
          <w:szCs w:val="22"/>
        </w:rPr>
        <w:t>al</w:t>
      </w:r>
      <w:r w:rsidR="00C14C2F" w:rsidRPr="00B57F18">
        <w:rPr>
          <w:smallCaps/>
          <w:sz w:val="22"/>
          <w:szCs w:val="22"/>
        </w:rPr>
        <w:t xml:space="preserve"> Health</w:t>
      </w:r>
      <w:r w:rsidR="00C14C2F" w:rsidRPr="000613D9">
        <w:rPr>
          <w:sz w:val="22"/>
          <w:szCs w:val="22"/>
        </w:rPr>
        <w:t xml:space="preserve"> </w:t>
      </w:r>
      <w:r w:rsidR="00431AB2">
        <w:rPr>
          <w:sz w:val="22"/>
          <w:szCs w:val="22"/>
        </w:rPr>
        <w:t xml:space="preserve">6, </w:t>
      </w:r>
      <w:r w:rsidR="00BC2EF7" w:rsidRPr="000613D9">
        <w:rPr>
          <w:sz w:val="22"/>
          <w:szCs w:val="22"/>
        </w:rPr>
        <w:t xml:space="preserve">942-61 </w:t>
      </w:r>
      <w:r w:rsidR="00C14C2F" w:rsidRPr="000613D9">
        <w:rPr>
          <w:sz w:val="22"/>
          <w:szCs w:val="22"/>
        </w:rPr>
        <w:t>(Nov. 2021)</w:t>
      </w:r>
      <w:r w:rsidR="001F464E" w:rsidRPr="000613D9">
        <w:rPr>
          <w:sz w:val="22"/>
          <w:szCs w:val="22"/>
        </w:rPr>
        <w:t xml:space="preserve"> </w:t>
      </w:r>
      <w:r w:rsidR="00D80D53" w:rsidRPr="000613D9">
        <w:rPr>
          <w:sz w:val="22"/>
          <w:szCs w:val="22"/>
        </w:rPr>
        <w:t>(</w:t>
      </w:r>
      <w:r w:rsidR="00396B7B">
        <w:rPr>
          <w:sz w:val="22"/>
          <w:szCs w:val="22"/>
        </w:rPr>
        <w:t>e</w:t>
      </w:r>
      <w:r w:rsidR="00914723" w:rsidRPr="000613D9">
        <w:rPr>
          <w:sz w:val="22"/>
          <w:szCs w:val="22"/>
        </w:rPr>
        <w:t xml:space="preserve">xplaining this </w:t>
      </w:r>
      <w:r w:rsidR="009E2CC2" w:rsidRPr="000613D9">
        <w:rPr>
          <w:sz w:val="22"/>
          <w:szCs w:val="22"/>
        </w:rPr>
        <w:t xml:space="preserve">same </w:t>
      </w:r>
      <w:r w:rsidR="00D37112" w:rsidRPr="000613D9">
        <w:rPr>
          <w:sz w:val="22"/>
          <w:szCs w:val="22"/>
        </w:rPr>
        <w:t>outcome, this study notes that when</w:t>
      </w:r>
      <w:r w:rsidR="009077FB" w:rsidRPr="000613D9">
        <w:rPr>
          <w:sz w:val="22"/>
          <w:szCs w:val="22"/>
        </w:rPr>
        <w:t xml:space="preserve"> involuntary outpatient commitment is associated with Assertive Community Treatment or some form of aggressive case management</w:t>
      </w:r>
      <w:r w:rsidR="00AD20DD" w:rsidRPr="000613D9">
        <w:rPr>
          <w:sz w:val="22"/>
          <w:szCs w:val="22"/>
        </w:rPr>
        <w:t xml:space="preserve">, it will be associated with reducing re-hospitalization numbers, but when </w:t>
      </w:r>
      <w:r w:rsidR="005E4034" w:rsidRPr="000613D9">
        <w:rPr>
          <w:sz w:val="22"/>
          <w:szCs w:val="22"/>
        </w:rPr>
        <w:t xml:space="preserve">outpatient services are more limited, involuntary outpatient commitment </w:t>
      </w:r>
      <w:r w:rsidR="00297472" w:rsidRPr="000613D9">
        <w:rPr>
          <w:sz w:val="22"/>
          <w:szCs w:val="22"/>
        </w:rPr>
        <w:t xml:space="preserve">is associated with rapid return to hospital </w:t>
      </w:r>
      <w:r w:rsidR="008B6470" w:rsidRPr="000613D9">
        <w:rPr>
          <w:sz w:val="22"/>
          <w:szCs w:val="22"/>
        </w:rPr>
        <w:t>and therefore increased “total-hospital</w:t>
      </w:r>
      <w:r w:rsidR="000A13B9" w:rsidRPr="000613D9">
        <w:rPr>
          <w:sz w:val="22"/>
          <w:szCs w:val="22"/>
        </w:rPr>
        <w:t xml:space="preserve">-days and readmissions </w:t>
      </w:r>
      <w:r w:rsidR="00687DD2" w:rsidRPr="000613D9">
        <w:rPr>
          <w:sz w:val="22"/>
          <w:szCs w:val="22"/>
        </w:rPr>
        <w:t>when compared to a comparison group.</w:t>
      </w:r>
      <w:r w:rsidR="00A47EAC" w:rsidRPr="000613D9">
        <w:rPr>
          <w:sz w:val="22"/>
          <w:szCs w:val="22"/>
        </w:rPr>
        <w:t xml:space="preserve"> </w:t>
      </w:r>
      <w:r w:rsidR="00DD0884" w:rsidRPr="000613D9">
        <w:rPr>
          <w:sz w:val="22"/>
          <w:szCs w:val="22"/>
        </w:rPr>
        <w:t>The study cites other examples</w:t>
      </w:r>
      <w:r w:rsidR="005A565A" w:rsidRPr="000613D9">
        <w:rPr>
          <w:sz w:val="22"/>
          <w:szCs w:val="22"/>
        </w:rPr>
        <w:t xml:space="preserve"> of mixed results</w:t>
      </w:r>
      <w:r w:rsidR="006A145F" w:rsidRPr="000613D9">
        <w:rPr>
          <w:sz w:val="22"/>
          <w:szCs w:val="22"/>
        </w:rPr>
        <w:t xml:space="preserve"> as well.)</w:t>
      </w:r>
      <w:r w:rsidR="00687DD2" w:rsidRPr="000613D9">
        <w:rPr>
          <w:sz w:val="22"/>
          <w:szCs w:val="22"/>
        </w:rPr>
        <w:t xml:space="preserve"> </w:t>
      </w:r>
    </w:p>
  </w:footnote>
  <w:footnote w:id="8">
    <w:p w14:paraId="21C23C84" w14:textId="68F33C5C" w:rsidR="00A302C0" w:rsidRPr="000613D9" w:rsidRDefault="00A302C0" w:rsidP="00A302C0">
      <w:pPr>
        <w:pStyle w:val="FootnoteText"/>
        <w:rPr>
          <w:sz w:val="22"/>
          <w:szCs w:val="22"/>
        </w:rPr>
      </w:pPr>
      <w:r w:rsidRPr="000613D9">
        <w:rPr>
          <w:rStyle w:val="FootnoteReference"/>
          <w:sz w:val="22"/>
          <w:szCs w:val="22"/>
        </w:rPr>
        <w:footnoteRef/>
      </w:r>
      <w:r w:rsidRPr="000613D9">
        <w:rPr>
          <w:sz w:val="22"/>
          <w:szCs w:val="22"/>
        </w:rPr>
        <w:t xml:space="preserve"> </w:t>
      </w:r>
      <w:r w:rsidRPr="00774398">
        <w:rPr>
          <w:color w:val="000000"/>
          <w:sz w:val="22"/>
          <w:szCs w:val="22"/>
        </w:rPr>
        <w:t>RAND Report</w:t>
      </w:r>
      <w:r w:rsidRPr="000613D9">
        <w:rPr>
          <w:color w:val="000000"/>
          <w:sz w:val="22"/>
          <w:szCs w:val="22"/>
        </w:rPr>
        <w:t xml:space="preserve">, </w:t>
      </w:r>
      <w:r w:rsidRPr="000613D9">
        <w:rPr>
          <w:i/>
          <w:iCs/>
          <w:color w:val="000000"/>
          <w:sz w:val="22"/>
          <w:szCs w:val="22"/>
        </w:rPr>
        <w:t>supra</w:t>
      </w:r>
      <w:r w:rsidR="00774398">
        <w:rPr>
          <w:color w:val="000000"/>
          <w:sz w:val="22"/>
          <w:szCs w:val="22"/>
        </w:rPr>
        <w:t xml:space="preserve"> note 2,</w:t>
      </w:r>
      <w:r w:rsidRPr="000613D9">
        <w:rPr>
          <w:color w:val="000000"/>
          <w:sz w:val="22"/>
          <w:szCs w:val="22"/>
        </w:rPr>
        <w:t xml:space="preserve"> at 99.</w:t>
      </w:r>
    </w:p>
  </w:footnote>
  <w:footnote w:id="9">
    <w:p w14:paraId="3398531E" w14:textId="2568722E" w:rsidR="00A302C0" w:rsidRPr="000613D9" w:rsidRDefault="00A302C0" w:rsidP="00A302C0">
      <w:pPr>
        <w:pStyle w:val="FootnoteText"/>
        <w:rPr>
          <w:sz w:val="22"/>
          <w:szCs w:val="22"/>
        </w:rPr>
      </w:pPr>
      <w:r w:rsidRPr="000613D9">
        <w:rPr>
          <w:rStyle w:val="FootnoteReference"/>
          <w:sz w:val="22"/>
          <w:szCs w:val="22"/>
        </w:rPr>
        <w:footnoteRef/>
      </w:r>
      <w:r w:rsidRPr="000613D9">
        <w:rPr>
          <w:sz w:val="22"/>
          <w:szCs w:val="22"/>
        </w:rPr>
        <w:t xml:space="preserve"> </w:t>
      </w:r>
      <w:r w:rsidRPr="000613D9">
        <w:rPr>
          <w:color w:val="000000"/>
          <w:sz w:val="22"/>
          <w:szCs w:val="22"/>
        </w:rPr>
        <w:t xml:space="preserve">Phelan, </w:t>
      </w:r>
      <w:r w:rsidRPr="000613D9">
        <w:rPr>
          <w:i/>
          <w:iCs/>
          <w:color w:val="000000"/>
          <w:sz w:val="22"/>
          <w:szCs w:val="22"/>
        </w:rPr>
        <w:t>supra</w:t>
      </w:r>
      <w:r w:rsidR="006A12BE">
        <w:rPr>
          <w:color w:val="000000"/>
          <w:sz w:val="22"/>
          <w:szCs w:val="22"/>
        </w:rPr>
        <w:t xml:space="preserve"> note 3,</w:t>
      </w:r>
      <w:r w:rsidRPr="000613D9">
        <w:rPr>
          <w:color w:val="000000"/>
          <w:sz w:val="22"/>
          <w:szCs w:val="22"/>
        </w:rPr>
        <w:t xml:space="preserve"> at 142.</w:t>
      </w:r>
    </w:p>
  </w:footnote>
  <w:footnote w:id="10">
    <w:p w14:paraId="75B98474" w14:textId="77777777" w:rsidR="00A302C0" w:rsidRPr="000613D9" w:rsidRDefault="00A302C0" w:rsidP="00A302C0">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color w:val="000000"/>
          <w:sz w:val="22"/>
          <w:szCs w:val="22"/>
        </w:rPr>
        <w:t>Id.</w:t>
      </w:r>
    </w:p>
  </w:footnote>
  <w:footnote w:id="11">
    <w:p w14:paraId="691B5F2F" w14:textId="77777777" w:rsidR="00A302C0" w:rsidRPr="000613D9" w:rsidRDefault="00A302C0" w:rsidP="00A302C0">
      <w:pPr>
        <w:pStyle w:val="FootnoteText"/>
        <w:rPr>
          <w:sz w:val="22"/>
          <w:szCs w:val="22"/>
        </w:rPr>
      </w:pPr>
      <w:r w:rsidRPr="000613D9">
        <w:rPr>
          <w:rStyle w:val="FootnoteReference"/>
          <w:sz w:val="22"/>
          <w:szCs w:val="22"/>
        </w:rPr>
        <w:footnoteRef/>
      </w:r>
      <w:r w:rsidRPr="000613D9">
        <w:rPr>
          <w:sz w:val="22"/>
          <w:szCs w:val="22"/>
        </w:rPr>
        <w:t xml:space="preserve"> </w:t>
      </w:r>
      <w:r w:rsidRPr="000613D9">
        <w:rPr>
          <w:color w:val="000000"/>
          <w:sz w:val="22"/>
          <w:szCs w:val="22"/>
        </w:rPr>
        <w:t xml:space="preserve">Jennifer Honig &amp; Susan Stefan, </w:t>
      </w:r>
      <w:r w:rsidRPr="000613D9">
        <w:rPr>
          <w:i/>
          <w:iCs/>
          <w:color w:val="000000"/>
          <w:sz w:val="22"/>
          <w:szCs w:val="22"/>
        </w:rPr>
        <w:t xml:space="preserve">New Research Continues to Challenge the Need for Outpatient Commitment, </w:t>
      </w:r>
      <w:r w:rsidRPr="000613D9">
        <w:rPr>
          <w:color w:val="000000"/>
          <w:sz w:val="22"/>
          <w:szCs w:val="22"/>
        </w:rPr>
        <w:t xml:space="preserve">31 </w:t>
      </w:r>
      <w:r w:rsidRPr="00B57F18">
        <w:rPr>
          <w:smallCaps/>
          <w:color w:val="000000"/>
          <w:sz w:val="22"/>
          <w:szCs w:val="22"/>
        </w:rPr>
        <w:t>New Eng. J. on Crim. &amp; Civ. Confinement</w:t>
      </w:r>
      <w:r w:rsidRPr="000613D9">
        <w:rPr>
          <w:color w:val="000000"/>
          <w:sz w:val="22"/>
          <w:szCs w:val="22"/>
        </w:rPr>
        <w:t xml:space="preserve"> 109, 119 (2005), citing </w:t>
      </w:r>
      <w:r w:rsidRPr="000613D9">
        <w:rPr>
          <w:i/>
          <w:iCs/>
          <w:color w:val="000000"/>
          <w:sz w:val="22"/>
          <w:szCs w:val="22"/>
        </w:rPr>
        <w:t xml:space="preserve">President's Freedom Commission, Report of the Subcommittee on Rights and Engagement </w:t>
      </w:r>
      <w:r w:rsidRPr="000613D9">
        <w:rPr>
          <w:color w:val="000000"/>
          <w:sz w:val="22"/>
          <w:szCs w:val="22"/>
        </w:rPr>
        <w:t>(2003).</w:t>
      </w:r>
    </w:p>
  </w:footnote>
  <w:footnote w:id="12">
    <w:p w14:paraId="5A1F7074" w14:textId="77777777" w:rsidR="00A302C0" w:rsidRPr="000613D9" w:rsidRDefault="00A302C0" w:rsidP="00A302C0">
      <w:pPr>
        <w:pStyle w:val="CM8"/>
        <w:rPr>
          <w:sz w:val="22"/>
          <w:szCs w:val="22"/>
        </w:rPr>
      </w:pPr>
      <w:r w:rsidRPr="000613D9">
        <w:rPr>
          <w:rStyle w:val="FootnoteReference"/>
          <w:sz w:val="22"/>
          <w:szCs w:val="22"/>
        </w:rPr>
        <w:footnoteRef/>
      </w:r>
      <w:r w:rsidRPr="000613D9">
        <w:rPr>
          <w:sz w:val="22"/>
          <w:szCs w:val="22"/>
        </w:rPr>
        <w:t xml:space="preserve"> </w:t>
      </w:r>
      <w:r w:rsidRPr="000613D9">
        <w:rPr>
          <w:color w:val="000000"/>
          <w:sz w:val="22"/>
          <w:szCs w:val="22"/>
        </w:rPr>
        <w:t>457 U.S. 307, 324 (1982).</w:t>
      </w:r>
    </w:p>
  </w:footnote>
  <w:footnote w:id="13">
    <w:p w14:paraId="46F5EFBC" w14:textId="447FF23A" w:rsidR="00AD6E4D" w:rsidRDefault="00AD6E4D">
      <w:pPr>
        <w:pStyle w:val="FootnoteText"/>
      </w:pPr>
      <w:r>
        <w:rPr>
          <w:rStyle w:val="FootnoteReference"/>
        </w:rPr>
        <w:footnoteRef/>
      </w:r>
      <w:r>
        <w:t xml:space="preserve"> </w:t>
      </w:r>
      <w:r w:rsidRPr="000613D9">
        <w:rPr>
          <w:rFonts w:eastAsia="Times New Roman"/>
          <w:color w:val="000000" w:themeColor="text1"/>
          <w:sz w:val="22"/>
          <w:szCs w:val="22"/>
        </w:rPr>
        <w:t xml:space="preserve">Thomas G. McGuire </w:t>
      </w:r>
      <w:r w:rsidRPr="000613D9">
        <w:rPr>
          <w:rFonts w:eastAsia="Times New Roman"/>
          <w:i/>
          <w:iCs/>
          <w:color w:val="000000" w:themeColor="text1"/>
          <w:sz w:val="22"/>
          <w:szCs w:val="22"/>
        </w:rPr>
        <w:t>et al</w:t>
      </w:r>
      <w:r w:rsidRPr="000613D9">
        <w:rPr>
          <w:rFonts w:eastAsia="Times New Roman"/>
          <w:color w:val="000000" w:themeColor="text1"/>
          <w:sz w:val="22"/>
          <w:szCs w:val="22"/>
        </w:rPr>
        <w:t xml:space="preserve">., </w:t>
      </w:r>
      <w:r w:rsidRPr="000613D9">
        <w:rPr>
          <w:rFonts w:eastAsia="Times New Roman"/>
          <w:i/>
          <w:iCs/>
          <w:color w:val="000000" w:themeColor="text1"/>
          <w:sz w:val="22"/>
          <w:szCs w:val="22"/>
        </w:rPr>
        <w:t>New Evidence Regarding Racial And Ethnic Disparities In Mental Health: Policy Implications</w:t>
      </w:r>
      <w:r w:rsidRPr="000613D9">
        <w:rPr>
          <w:rFonts w:eastAsia="Times New Roman"/>
          <w:color w:val="000000" w:themeColor="text1"/>
          <w:sz w:val="22"/>
          <w:szCs w:val="22"/>
        </w:rPr>
        <w:t xml:space="preserve">, 27 </w:t>
      </w:r>
      <w:r w:rsidRPr="00B57F18">
        <w:rPr>
          <w:rFonts w:eastAsia="Times New Roman"/>
          <w:smallCaps/>
          <w:color w:val="000000" w:themeColor="text1"/>
          <w:sz w:val="22"/>
          <w:szCs w:val="22"/>
        </w:rPr>
        <w:t>Health Affairs</w:t>
      </w:r>
      <w:r w:rsidRPr="000613D9">
        <w:rPr>
          <w:rFonts w:eastAsia="Times New Roman"/>
          <w:color w:val="000000" w:themeColor="text1"/>
          <w:sz w:val="22"/>
          <w:szCs w:val="22"/>
        </w:rPr>
        <w:t xml:space="preserve"> </w:t>
      </w:r>
      <w:r>
        <w:rPr>
          <w:rFonts w:eastAsia="Times New Roman"/>
          <w:color w:val="000000" w:themeColor="text1"/>
          <w:sz w:val="22"/>
          <w:szCs w:val="22"/>
        </w:rPr>
        <w:t>393, 396</w:t>
      </w:r>
      <w:r w:rsidRPr="000613D9">
        <w:rPr>
          <w:rFonts w:eastAsia="Times New Roman"/>
          <w:color w:val="000000" w:themeColor="text1"/>
          <w:sz w:val="22"/>
          <w:szCs w:val="22"/>
        </w:rPr>
        <w:t xml:space="preserve"> (Mar./Apr. 2008)</w:t>
      </w:r>
      <w:r>
        <w:rPr>
          <w:rFonts w:eastAsia="Times New Roman"/>
          <w:color w:val="000000" w:themeColor="text1"/>
          <w:sz w:val="22"/>
          <w:szCs w:val="22"/>
        </w:rPr>
        <w:t>.</w:t>
      </w:r>
    </w:p>
  </w:footnote>
  <w:footnote w:id="14">
    <w:p w14:paraId="6BF148B1" w14:textId="77777777" w:rsidR="00AA57F3" w:rsidRDefault="00AA57F3" w:rsidP="00AA57F3">
      <w:pPr>
        <w:pStyle w:val="FootnoteText"/>
      </w:pPr>
      <w:r>
        <w:rPr>
          <w:rStyle w:val="FootnoteReference"/>
        </w:rPr>
        <w:footnoteRef/>
      </w:r>
      <w:r>
        <w:t xml:space="preserve"> </w:t>
      </w:r>
      <w:r w:rsidRPr="00C37BAB">
        <w:rPr>
          <w:smallCaps/>
          <w:sz w:val="22"/>
          <w:szCs w:val="22"/>
        </w:rPr>
        <w:t>U.S. Department of Health and Human Services</w:t>
      </w:r>
      <w:r>
        <w:rPr>
          <w:sz w:val="22"/>
          <w:szCs w:val="22"/>
        </w:rPr>
        <w:t xml:space="preserve">, </w:t>
      </w:r>
      <w:r w:rsidRPr="000613D9">
        <w:rPr>
          <w:rFonts w:eastAsia="Times New Roman"/>
          <w:smallCaps/>
          <w:color w:val="000000" w:themeColor="text1"/>
          <w:sz w:val="22"/>
          <w:szCs w:val="22"/>
        </w:rPr>
        <w:t xml:space="preserve">Mental Health: Culture, Race, </w:t>
      </w:r>
      <w:r>
        <w:rPr>
          <w:rFonts w:eastAsia="Times New Roman"/>
          <w:smallCaps/>
          <w:color w:val="000000" w:themeColor="text1"/>
          <w:sz w:val="22"/>
          <w:szCs w:val="22"/>
        </w:rPr>
        <w:t>a</w:t>
      </w:r>
      <w:r w:rsidRPr="000613D9">
        <w:rPr>
          <w:rFonts w:eastAsia="Times New Roman"/>
          <w:smallCaps/>
          <w:color w:val="000000" w:themeColor="text1"/>
          <w:sz w:val="22"/>
          <w:szCs w:val="22"/>
        </w:rPr>
        <w:t xml:space="preserve">nd Ethnicity—A Supplement </w:t>
      </w:r>
      <w:r>
        <w:rPr>
          <w:rFonts w:eastAsia="Times New Roman"/>
          <w:smallCaps/>
          <w:color w:val="000000" w:themeColor="text1"/>
          <w:sz w:val="22"/>
          <w:szCs w:val="22"/>
        </w:rPr>
        <w:t>t</w:t>
      </w:r>
      <w:r w:rsidRPr="000613D9">
        <w:rPr>
          <w:rFonts w:eastAsia="Times New Roman"/>
          <w:smallCaps/>
          <w:color w:val="000000" w:themeColor="text1"/>
          <w:sz w:val="22"/>
          <w:szCs w:val="22"/>
        </w:rPr>
        <w:t xml:space="preserve">o Mental Health; A Report </w:t>
      </w:r>
      <w:r>
        <w:rPr>
          <w:rFonts w:eastAsia="Times New Roman"/>
          <w:smallCaps/>
          <w:color w:val="000000" w:themeColor="text1"/>
          <w:sz w:val="22"/>
          <w:szCs w:val="22"/>
        </w:rPr>
        <w:t>o</w:t>
      </w:r>
      <w:r w:rsidRPr="000613D9">
        <w:rPr>
          <w:rFonts w:eastAsia="Times New Roman"/>
          <w:smallCaps/>
          <w:color w:val="000000" w:themeColor="text1"/>
          <w:sz w:val="22"/>
          <w:szCs w:val="22"/>
        </w:rPr>
        <w:t>f The Surgeon General</w:t>
      </w:r>
      <w:r>
        <w:rPr>
          <w:rFonts w:eastAsia="Times New Roman"/>
          <w:smallCaps/>
          <w:color w:val="000000" w:themeColor="text1"/>
          <w:sz w:val="22"/>
          <w:szCs w:val="22"/>
        </w:rPr>
        <w:t xml:space="preserve"> (2001)</w:t>
      </w:r>
      <w:r w:rsidRPr="000613D9">
        <w:rPr>
          <w:rFonts w:eastAsia="Times New Roman"/>
          <w:smallCaps/>
          <w:color w:val="000000" w:themeColor="text1"/>
          <w:sz w:val="22"/>
          <w:szCs w:val="22"/>
        </w:rPr>
        <w:t xml:space="preserve">, </w:t>
      </w:r>
      <w:r w:rsidRPr="00EC69BD">
        <w:rPr>
          <w:rFonts w:eastAsia="Times New Roman"/>
          <w:color w:val="000000" w:themeColor="text1"/>
          <w:sz w:val="22"/>
          <w:szCs w:val="22"/>
        </w:rPr>
        <w:t>a</w:t>
      </w:r>
      <w:r>
        <w:rPr>
          <w:rFonts w:eastAsia="Times New Roman"/>
          <w:color w:val="000000" w:themeColor="text1"/>
          <w:sz w:val="22"/>
          <w:szCs w:val="22"/>
        </w:rPr>
        <w:t>t Chapter 2, Introduction.</w:t>
      </w:r>
    </w:p>
  </w:footnote>
  <w:footnote w:id="15">
    <w:p w14:paraId="02E933CC" w14:textId="20CE5B8F" w:rsidR="00753E6E" w:rsidRPr="000613D9" w:rsidRDefault="00753E6E" w:rsidP="00753E6E">
      <w:pPr>
        <w:pStyle w:val="FootnoteText"/>
        <w:rPr>
          <w:sz w:val="22"/>
          <w:szCs w:val="22"/>
        </w:rPr>
      </w:pPr>
      <w:r w:rsidRPr="000613D9">
        <w:rPr>
          <w:rStyle w:val="FootnoteReference"/>
          <w:sz w:val="22"/>
          <w:szCs w:val="22"/>
        </w:rPr>
        <w:footnoteRef/>
      </w:r>
      <w:r w:rsidRPr="000613D9">
        <w:rPr>
          <w:sz w:val="22"/>
          <w:szCs w:val="22"/>
        </w:rPr>
        <w:t xml:space="preserve"> P</w:t>
      </w:r>
      <w:r w:rsidRPr="000613D9">
        <w:rPr>
          <w:rFonts w:eastAsia="Times New Roman"/>
          <w:color w:val="000000" w:themeColor="text1"/>
          <w:sz w:val="22"/>
          <w:szCs w:val="22"/>
        </w:rPr>
        <w:t xml:space="preserve">atricia A. Galon </w:t>
      </w:r>
      <w:r w:rsidRPr="000613D9">
        <w:rPr>
          <w:rFonts w:eastAsia="Times New Roman"/>
          <w:i/>
          <w:iCs/>
          <w:color w:val="000000" w:themeColor="text1"/>
          <w:sz w:val="22"/>
          <w:szCs w:val="22"/>
        </w:rPr>
        <w:t>et al</w:t>
      </w:r>
      <w:r w:rsidRPr="000613D9">
        <w:rPr>
          <w:rFonts w:eastAsia="Times New Roman"/>
          <w:color w:val="000000" w:themeColor="text1"/>
          <w:sz w:val="22"/>
          <w:szCs w:val="22"/>
        </w:rPr>
        <w:t xml:space="preserve">., </w:t>
      </w:r>
      <w:r w:rsidRPr="000613D9">
        <w:rPr>
          <w:rFonts w:eastAsia="Times New Roman"/>
          <w:i/>
          <w:iCs/>
          <w:color w:val="000000" w:themeColor="text1"/>
          <w:sz w:val="22"/>
          <w:szCs w:val="22"/>
        </w:rPr>
        <w:t xml:space="preserve">Influence of Race on Outpatient Commitment and Assertive Community Treatment for Persons </w:t>
      </w:r>
      <w:r>
        <w:rPr>
          <w:rFonts w:eastAsia="Times New Roman"/>
          <w:i/>
          <w:iCs/>
          <w:color w:val="000000" w:themeColor="text1"/>
          <w:sz w:val="22"/>
          <w:szCs w:val="22"/>
        </w:rPr>
        <w:t>w</w:t>
      </w:r>
      <w:r w:rsidRPr="000613D9">
        <w:rPr>
          <w:rFonts w:eastAsia="Times New Roman"/>
          <w:i/>
          <w:iCs/>
          <w:color w:val="000000" w:themeColor="text1"/>
          <w:sz w:val="22"/>
          <w:szCs w:val="22"/>
        </w:rPr>
        <w:t>ith Severe and Persistent Mental Illness</w:t>
      </w:r>
      <w:r w:rsidRPr="000613D9">
        <w:rPr>
          <w:rFonts w:eastAsia="Times New Roman"/>
          <w:color w:val="000000" w:themeColor="text1"/>
          <w:sz w:val="22"/>
          <w:szCs w:val="22"/>
        </w:rPr>
        <w:t xml:space="preserve">, 26 </w:t>
      </w:r>
      <w:r w:rsidRPr="00491FDE">
        <w:rPr>
          <w:rFonts w:eastAsia="Times New Roman"/>
          <w:smallCaps/>
          <w:color w:val="000000" w:themeColor="text1"/>
          <w:sz w:val="22"/>
          <w:szCs w:val="22"/>
        </w:rPr>
        <w:t>Science Direct</w:t>
      </w:r>
      <w:r w:rsidRPr="000613D9">
        <w:rPr>
          <w:rFonts w:eastAsia="Times New Roman"/>
          <w:color w:val="000000" w:themeColor="text1"/>
          <w:sz w:val="22"/>
          <w:szCs w:val="22"/>
        </w:rPr>
        <w:t xml:space="preserve"> </w:t>
      </w:r>
      <w:r>
        <w:rPr>
          <w:rFonts w:eastAsia="Times New Roman"/>
          <w:color w:val="000000" w:themeColor="text1"/>
          <w:sz w:val="22"/>
          <w:szCs w:val="22"/>
        </w:rPr>
        <w:t xml:space="preserve">202, </w:t>
      </w:r>
      <w:r w:rsidRPr="000613D9">
        <w:rPr>
          <w:rFonts w:eastAsia="Times New Roman"/>
          <w:color w:val="000000" w:themeColor="text1"/>
          <w:sz w:val="22"/>
          <w:szCs w:val="22"/>
        </w:rPr>
        <w:t>204 (June 2012)</w:t>
      </w:r>
      <w:r>
        <w:rPr>
          <w:rFonts w:eastAsia="Times New Roman"/>
          <w:color w:val="000000" w:themeColor="text1"/>
          <w:sz w:val="22"/>
          <w:szCs w:val="22"/>
        </w:rPr>
        <w:t>.</w:t>
      </w:r>
    </w:p>
  </w:footnote>
  <w:footnote w:id="16">
    <w:p w14:paraId="60FC67D0" w14:textId="0721C895" w:rsidR="001751C4" w:rsidRPr="000613D9" w:rsidRDefault="00BD55AD" w:rsidP="00BD55AD">
      <w:pPr>
        <w:pStyle w:val="FootnoteText"/>
        <w:rPr>
          <w:rFonts w:eastAsia="Times New Roman"/>
          <w:color w:val="000000" w:themeColor="text1"/>
          <w:sz w:val="22"/>
          <w:szCs w:val="22"/>
        </w:rPr>
      </w:pPr>
      <w:r w:rsidRPr="000613D9">
        <w:rPr>
          <w:rStyle w:val="FootnoteReference"/>
          <w:sz w:val="22"/>
          <w:szCs w:val="22"/>
        </w:rPr>
        <w:footnoteRef/>
      </w:r>
      <w:r w:rsidRPr="000613D9">
        <w:rPr>
          <w:sz w:val="22"/>
          <w:szCs w:val="22"/>
        </w:rPr>
        <w:t xml:space="preserve"> </w:t>
      </w:r>
      <w:r w:rsidR="0019291B" w:rsidRPr="000613D9">
        <w:rPr>
          <w:rFonts w:eastAsia="Times New Roman"/>
          <w:color w:val="000000" w:themeColor="text1"/>
          <w:sz w:val="22"/>
          <w:szCs w:val="22"/>
        </w:rPr>
        <w:t xml:space="preserve">Thomas G. McGuire </w:t>
      </w:r>
      <w:r w:rsidR="0019291B" w:rsidRPr="000613D9">
        <w:rPr>
          <w:rFonts w:eastAsia="Times New Roman"/>
          <w:i/>
          <w:iCs/>
          <w:color w:val="000000" w:themeColor="text1"/>
          <w:sz w:val="22"/>
          <w:szCs w:val="22"/>
        </w:rPr>
        <w:t>et al</w:t>
      </w:r>
      <w:r w:rsidR="0019291B" w:rsidRPr="000613D9">
        <w:rPr>
          <w:rFonts w:eastAsia="Times New Roman"/>
          <w:color w:val="000000" w:themeColor="text1"/>
          <w:sz w:val="22"/>
          <w:szCs w:val="22"/>
        </w:rPr>
        <w:t xml:space="preserve">., </w:t>
      </w:r>
      <w:r w:rsidR="00C03FD3" w:rsidRPr="00603723">
        <w:rPr>
          <w:rFonts w:eastAsia="Times New Roman"/>
          <w:i/>
          <w:iCs/>
          <w:color w:val="000000" w:themeColor="text1"/>
          <w:sz w:val="22"/>
          <w:szCs w:val="22"/>
        </w:rPr>
        <w:t>supra</w:t>
      </w:r>
      <w:r w:rsidR="00B66677">
        <w:rPr>
          <w:rFonts w:eastAsia="Times New Roman"/>
          <w:color w:val="000000" w:themeColor="text1"/>
          <w:sz w:val="22"/>
          <w:szCs w:val="22"/>
        </w:rPr>
        <w:t xml:space="preserve"> note 11,</w:t>
      </w:r>
      <w:r w:rsidR="00C03FD3">
        <w:rPr>
          <w:rFonts w:eastAsia="Times New Roman"/>
          <w:color w:val="000000" w:themeColor="text1"/>
          <w:sz w:val="22"/>
          <w:szCs w:val="22"/>
        </w:rPr>
        <w:t xml:space="preserve"> at </w:t>
      </w:r>
      <w:r w:rsidR="0019291B">
        <w:rPr>
          <w:rFonts w:eastAsia="Times New Roman"/>
          <w:color w:val="000000" w:themeColor="text1"/>
          <w:sz w:val="22"/>
          <w:szCs w:val="22"/>
        </w:rPr>
        <w:t>396.</w:t>
      </w:r>
    </w:p>
  </w:footnote>
  <w:footnote w:id="17">
    <w:p w14:paraId="6276C297" w14:textId="1E0BA812" w:rsidR="00C03FD3" w:rsidRPr="00673DB1" w:rsidRDefault="00C03FD3" w:rsidP="00C03FD3">
      <w:pPr>
        <w:pStyle w:val="FootnoteText"/>
        <w:rPr>
          <w:sz w:val="22"/>
          <w:szCs w:val="22"/>
        </w:rPr>
      </w:pPr>
      <w:r w:rsidRPr="00673DB1">
        <w:rPr>
          <w:rStyle w:val="FootnoteReference"/>
          <w:sz w:val="22"/>
          <w:szCs w:val="22"/>
        </w:rPr>
        <w:footnoteRef/>
      </w:r>
      <w:r w:rsidRPr="00673DB1">
        <w:rPr>
          <w:sz w:val="22"/>
          <w:szCs w:val="22"/>
        </w:rPr>
        <w:t xml:space="preserve"> </w:t>
      </w:r>
      <w:r w:rsidRPr="00B66677">
        <w:rPr>
          <w:smallCaps/>
          <w:sz w:val="22"/>
          <w:szCs w:val="22"/>
        </w:rPr>
        <w:t>U.S. Department of Health and Human Services</w:t>
      </w:r>
      <w:r>
        <w:rPr>
          <w:sz w:val="22"/>
          <w:szCs w:val="22"/>
        </w:rPr>
        <w:t xml:space="preserve">, </w:t>
      </w:r>
      <w:r w:rsidRPr="00603723">
        <w:rPr>
          <w:i/>
          <w:iCs/>
          <w:sz w:val="22"/>
          <w:szCs w:val="22"/>
        </w:rPr>
        <w:t>supra</w:t>
      </w:r>
      <w:r w:rsidR="00B66677">
        <w:rPr>
          <w:sz w:val="22"/>
          <w:szCs w:val="22"/>
        </w:rPr>
        <w:t xml:space="preserve"> note 12,</w:t>
      </w:r>
      <w:r>
        <w:rPr>
          <w:sz w:val="22"/>
          <w:szCs w:val="22"/>
        </w:rPr>
        <w:t xml:space="preserve"> at Chapter 2, Evidence-Based Treatment and Minorities. </w:t>
      </w:r>
    </w:p>
  </w:footnote>
  <w:footnote w:id="18">
    <w:p w14:paraId="7A2C5938" w14:textId="0B09C17C" w:rsidR="00BD55AD" w:rsidRPr="000613D9" w:rsidRDefault="00BD55AD" w:rsidP="00BD55AD">
      <w:pPr>
        <w:pStyle w:val="FootnoteText"/>
        <w:rPr>
          <w:sz w:val="22"/>
          <w:szCs w:val="22"/>
        </w:rPr>
      </w:pPr>
      <w:r w:rsidRPr="000613D9">
        <w:rPr>
          <w:rStyle w:val="FootnoteReference"/>
          <w:sz w:val="22"/>
          <w:szCs w:val="22"/>
        </w:rPr>
        <w:footnoteRef/>
      </w:r>
      <w:r w:rsidRPr="000613D9">
        <w:rPr>
          <w:sz w:val="22"/>
          <w:szCs w:val="22"/>
        </w:rPr>
        <w:t xml:space="preserve"> </w:t>
      </w:r>
      <w:r w:rsidRPr="000613D9">
        <w:rPr>
          <w:rFonts w:eastAsia="Times New Roman"/>
          <w:i/>
          <w:iCs/>
          <w:color w:val="000000" w:themeColor="text1"/>
          <w:sz w:val="22"/>
          <w:szCs w:val="22"/>
        </w:rPr>
        <w:t>See, e.g.,</w:t>
      </w:r>
      <w:r w:rsidRPr="000613D9">
        <w:rPr>
          <w:rFonts w:eastAsia="Times New Roman"/>
          <w:color w:val="000000" w:themeColor="text1"/>
          <w:sz w:val="22"/>
          <w:szCs w:val="22"/>
        </w:rPr>
        <w:t xml:space="preserve"> National Disability Rights Network, Bazelon Center on Mental Health Law - Murphy Bill </w:t>
      </w:r>
      <w:r w:rsidR="00A02E38">
        <w:rPr>
          <w:rFonts w:eastAsia="Times New Roman"/>
          <w:color w:val="000000" w:themeColor="text1"/>
          <w:sz w:val="22"/>
          <w:szCs w:val="22"/>
        </w:rPr>
        <w:t>I</w:t>
      </w:r>
      <w:r w:rsidRPr="000613D9">
        <w:rPr>
          <w:rFonts w:eastAsia="Times New Roman"/>
          <w:color w:val="000000" w:themeColor="text1"/>
          <w:sz w:val="22"/>
          <w:szCs w:val="22"/>
        </w:rPr>
        <w:t xml:space="preserve">mpact </w:t>
      </w:r>
      <w:r w:rsidR="00A02E38">
        <w:rPr>
          <w:rFonts w:eastAsia="Times New Roman"/>
          <w:color w:val="000000" w:themeColor="text1"/>
          <w:sz w:val="22"/>
          <w:szCs w:val="22"/>
        </w:rPr>
        <w:t>B</w:t>
      </w:r>
      <w:r w:rsidRPr="000613D9">
        <w:rPr>
          <w:rFonts w:eastAsia="Times New Roman"/>
          <w:color w:val="000000" w:themeColor="text1"/>
          <w:sz w:val="22"/>
          <w:szCs w:val="22"/>
        </w:rPr>
        <w:t xml:space="preserve">ased </w:t>
      </w:r>
      <w:r w:rsidR="00A02E38">
        <w:rPr>
          <w:rFonts w:eastAsia="Times New Roman"/>
          <w:color w:val="000000" w:themeColor="text1"/>
          <w:sz w:val="22"/>
          <w:szCs w:val="22"/>
        </w:rPr>
        <w:t>O</w:t>
      </w:r>
      <w:r w:rsidRPr="000613D9">
        <w:rPr>
          <w:rFonts w:eastAsia="Times New Roman"/>
          <w:color w:val="000000" w:themeColor="text1"/>
          <w:sz w:val="22"/>
          <w:szCs w:val="22"/>
        </w:rPr>
        <w:t xml:space="preserve">n </w:t>
      </w:r>
      <w:r w:rsidR="00A02E38">
        <w:rPr>
          <w:rFonts w:eastAsia="Times New Roman"/>
          <w:color w:val="000000" w:themeColor="text1"/>
          <w:sz w:val="22"/>
          <w:szCs w:val="22"/>
        </w:rPr>
        <w:t>R</w:t>
      </w:r>
      <w:r w:rsidRPr="000613D9">
        <w:rPr>
          <w:rFonts w:eastAsia="Times New Roman"/>
          <w:color w:val="000000" w:themeColor="text1"/>
          <w:sz w:val="22"/>
          <w:szCs w:val="22"/>
        </w:rPr>
        <w:t>ace - 2013 (20</w:t>
      </w:r>
      <w:r w:rsidR="00FF71D5">
        <w:rPr>
          <w:rFonts w:eastAsia="Times New Roman"/>
          <w:color w:val="000000" w:themeColor="text1"/>
          <w:sz w:val="22"/>
          <w:szCs w:val="22"/>
        </w:rPr>
        <w:t>1</w:t>
      </w:r>
      <w:r w:rsidRPr="000613D9">
        <w:rPr>
          <w:rFonts w:eastAsia="Times New Roman"/>
          <w:color w:val="000000" w:themeColor="text1"/>
          <w:sz w:val="22"/>
          <w:szCs w:val="22"/>
        </w:rPr>
        <w:t xml:space="preserve">3), </w:t>
      </w:r>
      <w:hyperlink r:id="rId2">
        <w:r w:rsidRPr="000613D9">
          <w:rPr>
            <w:rStyle w:val="Hyperlink"/>
            <w:rFonts w:eastAsia="Calibri"/>
            <w:sz w:val="22"/>
            <w:szCs w:val="22"/>
          </w:rPr>
          <w:t>https://www.ndrn.org/images/PAIMI/Bazelon_Murphy_bill_-_‌impact_based_on_race_-_2013.pdf</w:t>
        </w:r>
      </w:hyperlink>
      <w:r w:rsidRPr="000613D9">
        <w:rPr>
          <w:rFonts w:eastAsia="Times New Roman"/>
          <w:color w:val="000000" w:themeColor="text1"/>
          <w:sz w:val="22"/>
          <w:szCs w:val="22"/>
        </w:rPr>
        <w:t>.</w:t>
      </w:r>
    </w:p>
  </w:footnote>
  <w:footnote w:id="19">
    <w:p w14:paraId="00D039A6" w14:textId="3C4B6D8D" w:rsidR="00871611" w:rsidRPr="000613D9" w:rsidRDefault="00BD55AD" w:rsidP="00BD55AD">
      <w:pPr>
        <w:pStyle w:val="FootnoteText"/>
        <w:rPr>
          <w:sz w:val="22"/>
          <w:szCs w:val="22"/>
        </w:rPr>
      </w:pPr>
      <w:r w:rsidRPr="000613D9">
        <w:rPr>
          <w:rStyle w:val="FootnoteReference"/>
          <w:sz w:val="22"/>
          <w:szCs w:val="22"/>
        </w:rPr>
        <w:footnoteRef/>
      </w:r>
      <w:r w:rsidRPr="000613D9">
        <w:rPr>
          <w:sz w:val="22"/>
          <w:szCs w:val="22"/>
        </w:rPr>
        <w:t xml:space="preserve"> </w:t>
      </w:r>
      <w:r w:rsidRPr="000613D9">
        <w:rPr>
          <w:rFonts w:eastAsia="Times New Roman"/>
          <w:color w:val="000000" w:themeColor="text1"/>
          <w:sz w:val="22"/>
          <w:szCs w:val="22"/>
        </w:rPr>
        <w:t xml:space="preserve">Jeffrey Swanson </w:t>
      </w:r>
      <w:r w:rsidRPr="000613D9">
        <w:rPr>
          <w:rFonts w:eastAsia="Times New Roman"/>
          <w:i/>
          <w:iCs/>
          <w:color w:val="000000" w:themeColor="text1"/>
          <w:sz w:val="22"/>
          <w:szCs w:val="22"/>
        </w:rPr>
        <w:t>et al</w:t>
      </w:r>
      <w:r w:rsidRPr="000613D9">
        <w:rPr>
          <w:rFonts w:eastAsia="Times New Roman"/>
          <w:color w:val="000000" w:themeColor="text1"/>
          <w:sz w:val="22"/>
          <w:szCs w:val="22"/>
        </w:rPr>
        <w:t xml:space="preserve">., </w:t>
      </w:r>
      <w:r w:rsidRPr="000613D9">
        <w:rPr>
          <w:rFonts w:eastAsia="Times New Roman"/>
          <w:i/>
          <w:iCs/>
          <w:color w:val="000000" w:themeColor="text1"/>
          <w:sz w:val="22"/>
          <w:szCs w:val="22"/>
        </w:rPr>
        <w:t>Racial Disparities In Involuntary Outpatient Commitment: Are They Real?</w:t>
      </w:r>
      <w:r w:rsidRPr="000613D9">
        <w:rPr>
          <w:rFonts w:eastAsia="Times New Roman"/>
          <w:color w:val="000000" w:themeColor="text1"/>
          <w:sz w:val="22"/>
          <w:szCs w:val="22"/>
        </w:rPr>
        <w:t xml:space="preserve">, 28 </w:t>
      </w:r>
      <w:r w:rsidRPr="00491FDE">
        <w:rPr>
          <w:rFonts w:eastAsia="Times New Roman"/>
          <w:smallCaps/>
          <w:color w:val="000000" w:themeColor="text1"/>
          <w:sz w:val="22"/>
          <w:szCs w:val="22"/>
        </w:rPr>
        <w:t>Health Affairs</w:t>
      </w:r>
      <w:r w:rsidRPr="000613D9">
        <w:rPr>
          <w:rFonts w:eastAsia="Times New Roman"/>
          <w:color w:val="000000" w:themeColor="text1"/>
          <w:sz w:val="22"/>
          <w:szCs w:val="22"/>
        </w:rPr>
        <w:t xml:space="preserve"> </w:t>
      </w:r>
      <w:r w:rsidR="00042169">
        <w:rPr>
          <w:rFonts w:eastAsia="Times New Roman"/>
          <w:color w:val="000000" w:themeColor="text1"/>
          <w:sz w:val="22"/>
          <w:szCs w:val="22"/>
        </w:rPr>
        <w:t>816</w:t>
      </w:r>
      <w:r w:rsidRPr="000613D9">
        <w:rPr>
          <w:rFonts w:eastAsia="Times New Roman"/>
          <w:color w:val="000000" w:themeColor="text1"/>
          <w:sz w:val="22"/>
          <w:szCs w:val="22"/>
        </w:rPr>
        <w:t xml:space="preserve"> (May/June 2009</w:t>
      </w:r>
      <w:r w:rsidR="00431AB2">
        <w:rPr>
          <w:rFonts w:eastAsia="Times New Roman"/>
          <w:color w:val="000000" w:themeColor="text1"/>
          <w:sz w:val="22"/>
          <w:szCs w:val="22"/>
        </w:rPr>
        <w:t>).</w:t>
      </w:r>
    </w:p>
  </w:footnote>
  <w:footnote w:id="20">
    <w:p w14:paraId="79578F10" w14:textId="0D7A81E5" w:rsidR="00340A47" w:rsidRPr="000613D9" w:rsidRDefault="00BD55AD" w:rsidP="00BD55AD">
      <w:pPr>
        <w:pStyle w:val="FootnoteText"/>
        <w:rPr>
          <w:sz w:val="22"/>
          <w:szCs w:val="22"/>
        </w:rPr>
      </w:pPr>
      <w:r w:rsidRPr="000613D9">
        <w:rPr>
          <w:rStyle w:val="FootnoteReference"/>
          <w:sz w:val="22"/>
          <w:szCs w:val="22"/>
        </w:rPr>
        <w:footnoteRef/>
      </w:r>
      <w:r w:rsidRPr="000613D9">
        <w:rPr>
          <w:sz w:val="22"/>
          <w:szCs w:val="22"/>
        </w:rPr>
        <w:t xml:space="preserve"> </w:t>
      </w:r>
      <w:r w:rsidR="007F4B98" w:rsidRPr="000613D9">
        <w:rPr>
          <w:rFonts w:eastAsia="Times New Roman"/>
          <w:color w:val="000000" w:themeColor="text1"/>
          <w:sz w:val="22"/>
          <w:szCs w:val="22"/>
        </w:rPr>
        <w:t>Victoria M</w:t>
      </w:r>
      <w:r w:rsidR="00DF3BA6">
        <w:rPr>
          <w:rFonts w:eastAsia="Times New Roman"/>
          <w:color w:val="000000" w:themeColor="text1"/>
          <w:sz w:val="22"/>
          <w:szCs w:val="22"/>
        </w:rPr>
        <w:t>.</w:t>
      </w:r>
      <w:r w:rsidR="007F4B98" w:rsidRPr="000613D9">
        <w:rPr>
          <w:rFonts w:eastAsia="Times New Roman"/>
          <w:color w:val="000000" w:themeColor="text1"/>
          <w:sz w:val="22"/>
          <w:szCs w:val="22"/>
        </w:rPr>
        <w:t xml:space="preserve"> Rodríguez-Roldán</w:t>
      </w:r>
      <w:r w:rsidR="00B73016">
        <w:rPr>
          <w:rFonts w:eastAsia="Times New Roman"/>
          <w:color w:val="000000" w:themeColor="text1"/>
          <w:sz w:val="22"/>
          <w:szCs w:val="22"/>
        </w:rPr>
        <w:t>,</w:t>
      </w:r>
      <w:r w:rsidR="007F4B98" w:rsidRPr="000613D9">
        <w:rPr>
          <w:rFonts w:eastAsia="Times New Roman"/>
          <w:color w:val="000000" w:themeColor="text1"/>
          <w:sz w:val="22"/>
          <w:szCs w:val="22"/>
        </w:rPr>
        <w:t xml:space="preserve"> </w:t>
      </w:r>
      <w:r w:rsidR="007F4B98" w:rsidRPr="00B73016">
        <w:rPr>
          <w:rFonts w:eastAsia="Times New Roman"/>
          <w:i/>
          <w:iCs/>
          <w:color w:val="000000" w:themeColor="text1"/>
          <w:sz w:val="22"/>
          <w:szCs w:val="22"/>
        </w:rPr>
        <w:t>The Racially Disparate Impacts of Coercive Outpatient Mental Health Treatment: The Case of Assisted Outpatient Treatment in New York State</w:t>
      </w:r>
      <w:r w:rsidR="00B73016">
        <w:rPr>
          <w:rFonts w:eastAsia="Times New Roman"/>
          <w:i/>
          <w:iCs/>
          <w:color w:val="000000" w:themeColor="text1"/>
          <w:sz w:val="22"/>
          <w:szCs w:val="22"/>
        </w:rPr>
        <w:t>,</w:t>
      </w:r>
      <w:r w:rsidR="007F4B98" w:rsidRPr="000613D9">
        <w:rPr>
          <w:rFonts w:eastAsia="Times New Roman"/>
          <w:color w:val="000000" w:themeColor="text1"/>
          <w:sz w:val="22"/>
          <w:szCs w:val="22"/>
        </w:rPr>
        <w:t> </w:t>
      </w:r>
      <w:r w:rsidR="007F4B98" w:rsidRPr="00491FDE">
        <w:rPr>
          <w:rFonts w:eastAsia="Times New Roman"/>
          <w:smallCaps/>
          <w:color w:val="000000" w:themeColor="text1"/>
          <w:sz w:val="22"/>
          <w:szCs w:val="22"/>
        </w:rPr>
        <w:t>Drexel L. Rev.</w:t>
      </w:r>
      <w:r w:rsidR="007F4B98" w:rsidRPr="000613D9">
        <w:rPr>
          <w:rFonts w:eastAsia="Times New Roman"/>
          <w:color w:val="000000" w:themeColor="text1"/>
          <w:sz w:val="22"/>
          <w:szCs w:val="22"/>
        </w:rPr>
        <w:t> </w:t>
      </w:r>
      <w:r w:rsidR="00874F9D">
        <w:rPr>
          <w:rFonts w:eastAsia="Times New Roman"/>
          <w:color w:val="000000" w:themeColor="text1"/>
          <w:sz w:val="22"/>
          <w:szCs w:val="22"/>
        </w:rPr>
        <w:t>945</w:t>
      </w:r>
      <w:r w:rsidR="00B51A0E">
        <w:rPr>
          <w:rFonts w:eastAsia="Times New Roman"/>
          <w:color w:val="000000" w:themeColor="text1"/>
          <w:sz w:val="22"/>
          <w:szCs w:val="22"/>
        </w:rPr>
        <w:t xml:space="preserve"> </w:t>
      </w:r>
      <w:r w:rsidR="007F4B98" w:rsidRPr="000613D9">
        <w:rPr>
          <w:rFonts w:eastAsia="Times New Roman"/>
          <w:color w:val="000000" w:themeColor="text1"/>
          <w:sz w:val="22"/>
          <w:szCs w:val="22"/>
        </w:rPr>
        <w:t>(2020)</w:t>
      </w:r>
      <w:r w:rsidR="00431AB2">
        <w:rPr>
          <w:rFonts w:eastAsia="Times New Roman"/>
          <w:color w:val="000000" w:themeColor="text1"/>
          <w:sz w:val="22"/>
          <w:szCs w:val="22"/>
        </w:rPr>
        <w:t>.</w:t>
      </w:r>
    </w:p>
  </w:footnote>
  <w:footnote w:id="21">
    <w:p w14:paraId="7F51643B" w14:textId="2727A42A" w:rsidR="006510B6" w:rsidRDefault="006510B6">
      <w:pPr>
        <w:pStyle w:val="FootnoteText"/>
      </w:pPr>
      <w:r>
        <w:rPr>
          <w:rStyle w:val="FootnoteReference"/>
        </w:rPr>
        <w:footnoteRef/>
      </w:r>
      <w:r>
        <w:t xml:space="preserve"> </w:t>
      </w:r>
      <w:r w:rsidR="00C03FD3">
        <w:rPr>
          <w:sz w:val="22"/>
          <w:szCs w:val="22"/>
        </w:rPr>
        <w:t xml:space="preserve">U.S. Department of Health and Human Services, </w:t>
      </w:r>
      <w:r w:rsidR="00C03FD3" w:rsidRPr="00673DB1">
        <w:rPr>
          <w:i/>
          <w:iCs/>
          <w:sz w:val="22"/>
          <w:szCs w:val="22"/>
        </w:rPr>
        <w:t>supra</w:t>
      </w:r>
      <w:r w:rsidR="00C03FD3">
        <w:rPr>
          <w:sz w:val="22"/>
          <w:szCs w:val="22"/>
        </w:rPr>
        <w:t xml:space="preserve">, </w:t>
      </w:r>
      <w:r w:rsidRPr="00EC69BD">
        <w:rPr>
          <w:rFonts w:eastAsia="Times New Roman"/>
          <w:color w:val="000000" w:themeColor="text1"/>
          <w:sz w:val="22"/>
          <w:szCs w:val="22"/>
        </w:rPr>
        <w:t>a</w:t>
      </w:r>
      <w:r>
        <w:rPr>
          <w:rFonts w:eastAsia="Times New Roman"/>
          <w:color w:val="000000" w:themeColor="text1"/>
          <w:sz w:val="22"/>
          <w:szCs w:val="22"/>
        </w:rPr>
        <w:t xml:space="preserve">t Chapter 2, </w:t>
      </w:r>
      <w:r w:rsidR="00C64400">
        <w:rPr>
          <w:rFonts w:eastAsia="Times New Roman"/>
          <w:color w:val="000000" w:themeColor="text1"/>
          <w:sz w:val="22"/>
          <w:szCs w:val="22"/>
        </w:rPr>
        <w:t>Clinician Bias and Stereotyping.</w:t>
      </w:r>
      <w:r w:rsidRPr="00EC69BD">
        <w:rPr>
          <w:rFonts w:eastAsia="Times New Roman"/>
          <w:color w:val="000000" w:themeColor="text1"/>
          <w:sz w:val="22"/>
          <w:szCs w:val="22"/>
        </w:rPr>
        <w:t xml:space="preserve"> </w:t>
      </w:r>
    </w:p>
  </w:footnote>
  <w:footnote w:id="22">
    <w:p w14:paraId="319B9259" w14:textId="6AE9F852" w:rsidR="00BD55AD" w:rsidRPr="000613D9" w:rsidRDefault="00BD55AD" w:rsidP="00BD55AD">
      <w:pPr>
        <w:pStyle w:val="FootnoteText"/>
        <w:rPr>
          <w:sz w:val="22"/>
          <w:szCs w:val="22"/>
        </w:rPr>
      </w:pPr>
      <w:r w:rsidRPr="000613D9">
        <w:rPr>
          <w:rStyle w:val="FootnoteReference"/>
          <w:sz w:val="22"/>
          <w:szCs w:val="22"/>
        </w:rPr>
        <w:footnoteRef/>
      </w:r>
      <w:r w:rsidRPr="000613D9">
        <w:rPr>
          <w:sz w:val="22"/>
          <w:szCs w:val="22"/>
        </w:rPr>
        <w:t xml:space="preserve"> </w:t>
      </w:r>
      <w:r w:rsidRPr="000613D9">
        <w:rPr>
          <w:rFonts w:eastAsia="Times New Roman"/>
          <w:color w:val="000000" w:themeColor="text1"/>
          <w:sz w:val="22"/>
          <w:szCs w:val="22"/>
        </w:rPr>
        <w:t>C. M. Olbert, A. Nagendra, &amp; B. Buck</w:t>
      </w:r>
      <w:r w:rsidR="00B028C8">
        <w:rPr>
          <w:rFonts w:eastAsia="Times New Roman"/>
          <w:color w:val="000000" w:themeColor="text1"/>
          <w:sz w:val="22"/>
          <w:szCs w:val="22"/>
        </w:rPr>
        <w:t xml:space="preserve">, </w:t>
      </w:r>
      <w:r w:rsidRPr="00B028C8">
        <w:rPr>
          <w:rFonts w:eastAsia="Times New Roman"/>
          <w:i/>
          <w:iCs/>
          <w:color w:val="000000" w:themeColor="text1"/>
          <w:sz w:val="22"/>
          <w:szCs w:val="22"/>
        </w:rPr>
        <w:t>Meta-</w:t>
      </w:r>
      <w:r w:rsidR="007B6F5B">
        <w:rPr>
          <w:rFonts w:eastAsia="Times New Roman"/>
          <w:i/>
          <w:iCs/>
          <w:color w:val="000000" w:themeColor="text1"/>
          <w:sz w:val="22"/>
          <w:szCs w:val="22"/>
        </w:rPr>
        <w:t>A</w:t>
      </w:r>
      <w:r w:rsidRPr="00B028C8">
        <w:rPr>
          <w:rFonts w:eastAsia="Times New Roman"/>
          <w:i/>
          <w:iCs/>
          <w:color w:val="000000" w:themeColor="text1"/>
          <w:sz w:val="22"/>
          <w:szCs w:val="22"/>
        </w:rPr>
        <w:t xml:space="preserve">nalysis of Black vs. White </w:t>
      </w:r>
      <w:r w:rsidR="007B6F5B">
        <w:rPr>
          <w:rFonts w:eastAsia="Times New Roman"/>
          <w:i/>
          <w:iCs/>
          <w:color w:val="000000" w:themeColor="text1"/>
          <w:sz w:val="22"/>
          <w:szCs w:val="22"/>
        </w:rPr>
        <w:t>R</w:t>
      </w:r>
      <w:r w:rsidRPr="00B028C8">
        <w:rPr>
          <w:rFonts w:eastAsia="Times New Roman"/>
          <w:i/>
          <w:iCs/>
          <w:color w:val="000000" w:themeColor="text1"/>
          <w:sz w:val="22"/>
          <w:szCs w:val="22"/>
        </w:rPr>
        <w:t xml:space="preserve">acial </w:t>
      </w:r>
      <w:r w:rsidR="007B6F5B">
        <w:rPr>
          <w:rFonts w:eastAsia="Times New Roman"/>
          <w:i/>
          <w:iCs/>
          <w:color w:val="000000" w:themeColor="text1"/>
          <w:sz w:val="22"/>
          <w:szCs w:val="22"/>
        </w:rPr>
        <w:t>D</w:t>
      </w:r>
      <w:r w:rsidRPr="00B028C8">
        <w:rPr>
          <w:rFonts w:eastAsia="Times New Roman"/>
          <w:i/>
          <w:iCs/>
          <w:color w:val="000000" w:themeColor="text1"/>
          <w:sz w:val="22"/>
          <w:szCs w:val="22"/>
        </w:rPr>
        <w:t xml:space="preserve">isparity in </w:t>
      </w:r>
      <w:r w:rsidR="007B6F5B">
        <w:rPr>
          <w:rFonts w:eastAsia="Times New Roman"/>
          <w:i/>
          <w:iCs/>
          <w:color w:val="000000" w:themeColor="text1"/>
          <w:sz w:val="22"/>
          <w:szCs w:val="22"/>
        </w:rPr>
        <w:t>S</w:t>
      </w:r>
      <w:r w:rsidRPr="00B028C8">
        <w:rPr>
          <w:rFonts w:eastAsia="Times New Roman"/>
          <w:i/>
          <w:iCs/>
          <w:color w:val="000000" w:themeColor="text1"/>
          <w:sz w:val="22"/>
          <w:szCs w:val="22"/>
        </w:rPr>
        <w:t xml:space="preserve">chizophrenia </w:t>
      </w:r>
      <w:r w:rsidR="007B6F5B">
        <w:rPr>
          <w:rFonts w:eastAsia="Times New Roman"/>
          <w:i/>
          <w:iCs/>
          <w:color w:val="000000" w:themeColor="text1"/>
          <w:sz w:val="22"/>
          <w:szCs w:val="22"/>
        </w:rPr>
        <w:t>D</w:t>
      </w:r>
      <w:r w:rsidRPr="00B028C8">
        <w:rPr>
          <w:rFonts w:eastAsia="Times New Roman"/>
          <w:i/>
          <w:iCs/>
          <w:color w:val="000000" w:themeColor="text1"/>
          <w:sz w:val="22"/>
          <w:szCs w:val="22"/>
        </w:rPr>
        <w:t xml:space="preserve">iagnosis in the United States: Do </w:t>
      </w:r>
      <w:r w:rsidR="007B6F5B">
        <w:rPr>
          <w:rFonts w:eastAsia="Times New Roman"/>
          <w:i/>
          <w:iCs/>
          <w:color w:val="000000" w:themeColor="text1"/>
          <w:sz w:val="22"/>
          <w:szCs w:val="22"/>
        </w:rPr>
        <w:t>S</w:t>
      </w:r>
      <w:r w:rsidRPr="00B028C8">
        <w:rPr>
          <w:rFonts w:eastAsia="Times New Roman"/>
          <w:i/>
          <w:iCs/>
          <w:color w:val="000000" w:themeColor="text1"/>
          <w:sz w:val="22"/>
          <w:szCs w:val="22"/>
        </w:rPr>
        <w:t xml:space="preserve">tructured </w:t>
      </w:r>
      <w:r w:rsidR="007B6F5B">
        <w:rPr>
          <w:rFonts w:eastAsia="Times New Roman"/>
          <w:i/>
          <w:iCs/>
          <w:color w:val="000000" w:themeColor="text1"/>
          <w:sz w:val="22"/>
          <w:szCs w:val="22"/>
        </w:rPr>
        <w:t>A</w:t>
      </w:r>
      <w:r w:rsidRPr="00B028C8">
        <w:rPr>
          <w:rFonts w:eastAsia="Times New Roman"/>
          <w:i/>
          <w:iCs/>
          <w:color w:val="000000" w:themeColor="text1"/>
          <w:sz w:val="22"/>
          <w:szCs w:val="22"/>
        </w:rPr>
        <w:t xml:space="preserve">ssessments </w:t>
      </w:r>
      <w:r w:rsidR="007B6F5B">
        <w:rPr>
          <w:rFonts w:eastAsia="Times New Roman"/>
          <w:i/>
          <w:iCs/>
          <w:color w:val="000000" w:themeColor="text1"/>
          <w:sz w:val="22"/>
          <w:szCs w:val="22"/>
        </w:rPr>
        <w:t>A</w:t>
      </w:r>
      <w:r w:rsidRPr="00B028C8">
        <w:rPr>
          <w:rFonts w:eastAsia="Times New Roman"/>
          <w:i/>
          <w:iCs/>
          <w:color w:val="000000" w:themeColor="text1"/>
          <w:sz w:val="22"/>
          <w:szCs w:val="22"/>
        </w:rPr>
        <w:t xml:space="preserve">ttenuate </w:t>
      </w:r>
      <w:r w:rsidR="007B6F5B">
        <w:rPr>
          <w:rFonts w:eastAsia="Times New Roman"/>
          <w:i/>
          <w:iCs/>
          <w:color w:val="000000" w:themeColor="text1"/>
          <w:sz w:val="22"/>
          <w:szCs w:val="22"/>
        </w:rPr>
        <w:t>R</w:t>
      </w:r>
      <w:r w:rsidRPr="00B028C8">
        <w:rPr>
          <w:rFonts w:eastAsia="Times New Roman"/>
          <w:i/>
          <w:iCs/>
          <w:color w:val="000000" w:themeColor="text1"/>
          <w:sz w:val="22"/>
          <w:szCs w:val="22"/>
        </w:rPr>
        <w:t xml:space="preserve">acial </w:t>
      </w:r>
      <w:r w:rsidR="007B6F5B">
        <w:rPr>
          <w:rFonts w:eastAsia="Times New Roman"/>
          <w:i/>
          <w:iCs/>
          <w:color w:val="000000" w:themeColor="text1"/>
          <w:sz w:val="22"/>
          <w:szCs w:val="22"/>
        </w:rPr>
        <w:t>D</w:t>
      </w:r>
      <w:r w:rsidRPr="00B028C8">
        <w:rPr>
          <w:rFonts w:eastAsia="Times New Roman"/>
          <w:i/>
          <w:iCs/>
          <w:color w:val="000000" w:themeColor="text1"/>
          <w:sz w:val="22"/>
          <w:szCs w:val="22"/>
        </w:rPr>
        <w:t>isparities?</w:t>
      </w:r>
      <w:r w:rsidRPr="000613D9">
        <w:rPr>
          <w:rFonts w:eastAsia="Times New Roman"/>
          <w:color w:val="000000" w:themeColor="text1"/>
          <w:sz w:val="22"/>
          <w:szCs w:val="22"/>
        </w:rPr>
        <w:t> </w:t>
      </w:r>
      <w:r w:rsidR="00874F9D">
        <w:rPr>
          <w:rFonts w:eastAsia="Times New Roman"/>
          <w:color w:val="000000" w:themeColor="text1"/>
          <w:sz w:val="22"/>
          <w:szCs w:val="22"/>
        </w:rPr>
        <w:t xml:space="preserve">127 </w:t>
      </w:r>
      <w:r w:rsidRPr="00491FDE">
        <w:rPr>
          <w:rStyle w:val="Emphasis"/>
          <w:rFonts w:eastAsia="Times New Roman"/>
          <w:i w:val="0"/>
          <w:iCs w:val="0"/>
          <w:smallCaps/>
          <w:color w:val="000000" w:themeColor="text1"/>
          <w:sz w:val="22"/>
          <w:szCs w:val="22"/>
        </w:rPr>
        <w:t>J</w:t>
      </w:r>
      <w:r w:rsidR="00491FDE" w:rsidRPr="00491FDE">
        <w:rPr>
          <w:rStyle w:val="Emphasis"/>
          <w:rFonts w:eastAsia="Times New Roman"/>
          <w:i w:val="0"/>
          <w:iCs w:val="0"/>
          <w:smallCaps/>
          <w:color w:val="000000" w:themeColor="text1"/>
          <w:sz w:val="22"/>
          <w:szCs w:val="22"/>
        </w:rPr>
        <w:t>.</w:t>
      </w:r>
      <w:r w:rsidRPr="00491FDE">
        <w:rPr>
          <w:rStyle w:val="Emphasis"/>
          <w:rFonts w:eastAsia="Times New Roman"/>
          <w:i w:val="0"/>
          <w:iCs w:val="0"/>
          <w:smallCaps/>
          <w:color w:val="000000" w:themeColor="text1"/>
          <w:sz w:val="22"/>
          <w:szCs w:val="22"/>
        </w:rPr>
        <w:t xml:space="preserve"> of Abnormal Psychology</w:t>
      </w:r>
      <w:r w:rsidRPr="000613D9">
        <w:rPr>
          <w:rStyle w:val="Emphasis"/>
          <w:rFonts w:eastAsia="Times New Roman"/>
          <w:color w:val="000000" w:themeColor="text1"/>
          <w:sz w:val="22"/>
          <w:szCs w:val="22"/>
        </w:rPr>
        <w:t xml:space="preserve"> </w:t>
      </w:r>
      <w:r w:rsidRPr="000613D9">
        <w:rPr>
          <w:rFonts w:eastAsia="Times New Roman"/>
          <w:color w:val="000000" w:themeColor="text1"/>
          <w:sz w:val="22"/>
          <w:szCs w:val="22"/>
        </w:rPr>
        <w:t>104</w:t>
      </w:r>
      <w:r w:rsidR="00EC69BD">
        <w:rPr>
          <w:rFonts w:eastAsia="Times New Roman"/>
          <w:color w:val="000000" w:themeColor="text1"/>
          <w:sz w:val="22"/>
          <w:szCs w:val="22"/>
        </w:rPr>
        <w:t xml:space="preserve"> (</w:t>
      </w:r>
      <w:r w:rsidR="00B028C8" w:rsidRPr="000613D9">
        <w:rPr>
          <w:rFonts w:eastAsia="Times New Roman"/>
          <w:color w:val="000000" w:themeColor="text1"/>
          <w:sz w:val="22"/>
          <w:szCs w:val="22"/>
        </w:rPr>
        <w:t>2018)</w:t>
      </w:r>
      <w:r w:rsidR="00431AB2">
        <w:rPr>
          <w:rFonts w:eastAsia="Times New Roman"/>
          <w:color w:val="000000" w:themeColor="text1"/>
          <w:sz w:val="22"/>
          <w:szCs w:val="22"/>
        </w:rPr>
        <w:t>.</w:t>
      </w:r>
    </w:p>
  </w:footnote>
  <w:footnote w:id="23">
    <w:p w14:paraId="384A4017" w14:textId="2EA11D65" w:rsidR="00BD55AD" w:rsidRPr="000613D9" w:rsidRDefault="00BD55AD" w:rsidP="00BD55AD">
      <w:pPr>
        <w:pStyle w:val="FootnoteText"/>
        <w:rPr>
          <w:sz w:val="22"/>
          <w:szCs w:val="22"/>
        </w:rPr>
      </w:pPr>
      <w:r w:rsidRPr="000613D9">
        <w:rPr>
          <w:rStyle w:val="FootnoteReference"/>
          <w:sz w:val="22"/>
          <w:szCs w:val="22"/>
        </w:rPr>
        <w:footnoteRef/>
      </w:r>
      <w:r w:rsidRPr="000613D9">
        <w:rPr>
          <w:sz w:val="22"/>
          <w:szCs w:val="22"/>
        </w:rPr>
        <w:t xml:space="preserve"> </w:t>
      </w:r>
      <w:r w:rsidR="007F4B98" w:rsidRPr="000613D9">
        <w:rPr>
          <w:rFonts w:eastAsia="Times New Roman"/>
          <w:color w:val="222222"/>
          <w:sz w:val="22"/>
          <w:szCs w:val="22"/>
        </w:rPr>
        <w:t xml:space="preserve">Rodríguez-Roldán, </w:t>
      </w:r>
      <w:r w:rsidR="007F4B98" w:rsidRPr="000613D9">
        <w:rPr>
          <w:rFonts w:eastAsia="Times New Roman"/>
          <w:i/>
          <w:iCs/>
          <w:color w:val="000000" w:themeColor="text1"/>
          <w:sz w:val="22"/>
          <w:szCs w:val="22"/>
        </w:rPr>
        <w:t>supra</w:t>
      </w:r>
      <w:r w:rsidR="00B51A0E">
        <w:rPr>
          <w:rFonts w:eastAsia="Times New Roman"/>
          <w:i/>
          <w:iCs/>
          <w:color w:val="000000" w:themeColor="text1"/>
          <w:sz w:val="22"/>
          <w:szCs w:val="22"/>
        </w:rPr>
        <w:t xml:space="preserve"> </w:t>
      </w:r>
      <w:r w:rsidR="00B51A0E">
        <w:rPr>
          <w:rFonts w:eastAsia="Times New Roman"/>
          <w:color w:val="000000" w:themeColor="text1"/>
          <w:sz w:val="22"/>
          <w:szCs w:val="22"/>
        </w:rPr>
        <w:t>note</w:t>
      </w:r>
      <w:r w:rsidR="00DC1F4F">
        <w:rPr>
          <w:rFonts w:eastAsia="Times New Roman"/>
          <w:color w:val="000000" w:themeColor="text1"/>
          <w:sz w:val="22"/>
          <w:szCs w:val="22"/>
        </w:rPr>
        <w:t xml:space="preserve"> 18</w:t>
      </w:r>
      <w:r w:rsidR="007F4B98" w:rsidRPr="000613D9">
        <w:rPr>
          <w:rFonts w:eastAsia="Times New Roman"/>
          <w:i/>
          <w:iCs/>
          <w:color w:val="000000" w:themeColor="text1"/>
          <w:sz w:val="22"/>
          <w:szCs w:val="22"/>
        </w:rPr>
        <w:t>.</w:t>
      </w:r>
    </w:p>
  </w:footnote>
  <w:footnote w:id="24">
    <w:p w14:paraId="13899171" w14:textId="70E77166" w:rsidR="00BD55AD" w:rsidRPr="00DC1F4F" w:rsidRDefault="00BD55AD" w:rsidP="00BD55AD">
      <w:pPr>
        <w:pStyle w:val="FootnoteText"/>
        <w:rPr>
          <w:sz w:val="22"/>
          <w:szCs w:val="22"/>
        </w:rPr>
      </w:pPr>
      <w:r w:rsidRPr="000613D9">
        <w:rPr>
          <w:rStyle w:val="FootnoteReference"/>
          <w:sz w:val="22"/>
          <w:szCs w:val="22"/>
        </w:rPr>
        <w:footnoteRef/>
      </w:r>
      <w:r w:rsidRPr="00D16FF2">
        <w:rPr>
          <w:sz w:val="22"/>
          <w:szCs w:val="22"/>
        </w:rPr>
        <w:t xml:space="preserve"> </w:t>
      </w:r>
      <w:r w:rsidRPr="00D16FF2">
        <w:rPr>
          <w:rFonts w:eastAsia="Times New Roman"/>
          <w:color w:val="000000" w:themeColor="text1"/>
          <w:sz w:val="22"/>
          <w:szCs w:val="22"/>
        </w:rPr>
        <w:t xml:space="preserve">Galon, </w:t>
      </w:r>
      <w:r w:rsidRPr="00D16FF2">
        <w:rPr>
          <w:rFonts w:eastAsia="Times New Roman"/>
          <w:i/>
          <w:iCs/>
          <w:color w:val="000000" w:themeColor="text1"/>
          <w:sz w:val="22"/>
          <w:szCs w:val="22"/>
        </w:rPr>
        <w:t>supra</w:t>
      </w:r>
      <w:r w:rsidR="00DC1F4F">
        <w:rPr>
          <w:rFonts w:eastAsia="Times New Roman"/>
          <w:color w:val="000000" w:themeColor="text1"/>
          <w:sz w:val="22"/>
          <w:szCs w:val="22"/>
        </w:rPr>
        <w:t xml:space="preserve"> note 13.</w:t>
      </w:r>
    </w:p>
  </w:footnote>
  <w:footnote w:id="25">
    <w:p w14:paraId="1F9D62C9" w14:textId="0A3367E0" w:rsidR="00BD55AD" w:rsidRPr="000613D9" w:rsidRDefault="00BD55AD" w:rsidP="00BD55AD">
      <w:pPr>
        <w:pStyle w:val="FootnoteText"/>
        <w:rPr>
          <w:sz w:val="22"/>
          <w:szCs w:val="22"/>
        </w:rPr>
      </w:pPr>
      <w:r w:rsidRPr="000613D9">
        <w:rPr>
          <w:rStyle w:val="FootnoteReference"/>
          <w:sz w:val="22"/>
          <w:szCs w:val="22"/>
        </w:rPr>
        <w:footnoteRef/>
      </w:r>
      <w:r w:rsidRPr="000613D9">
        <w:rPr>
          <w:sz w:val="22"/>
          <w:szCs w:val="22"/>
        </w:rPr>
        <w:t xml:space="preserve"> </w:t>
      </w:r>
      <w:r w:rsidR="00DC1F4F" w:rsidRPr="00DC1F4F">
        <w:rPr>
          <w:rFonts w:eastAsia="Times New Roman"/>
          <w:i/>
          <w:iCs/>
          <w:color w:val="000000" w:themeColor="text1"/>
          <w:sz w:val="22"/>
          <w:szCs w:val="22"/>
        </w:rPr>
        <w:t>Id.</w:t>
      </w:r>
      <w:r w:rsidR="00DC1F4F">
        <w:rPr>
          <w:rFonts w:eastAsia="Times New Roman"/>
          <w:color w:val="000000" w:themeColor="text1"/>
          <w:sz w:val="22"/>
          <w:szCs w:val="22"/>
        </w:rPr>
        <w:t xml:space="preserve"> </w:t>
      </w:r>
      <w:r w:rsidRPr="000613D9">
        <w:rPr>
          <w:rFonts w:eastAsia="Times New Roman"/>
          <w:color w:val="000000" w:themeColor="text1"/>
          <w:sz w:val="22"/>
          <w:szCs w:val="22"/>
        </w:rPr>
        <w:t>at 205</w:t>
      </w:r>
      <w:r w:rsidR="00DC1F4F">
        <w:rPr>
          <w:rFonts w:eastAsia="Times New Roman"/>
          <w:color w:val="000000" w:themeColor="text1"/>
          <w:sz w:val="22"/>
          <w:szCs w:val="22"/>
        </w:rPr>
        <w:t>.</w:t>
      </w:r>
    </w:p>
  </w:footnote>
  <w:footnote w:id="26">
    <w:p w14:paraId="72A06A09" w14:textId="1C6EE73B" w:rsidR="00F81C77" w:rsidRDefault="0082125D" w:rsidP="00E9375C">
      <w:pPr>
        <w:pStyle w:val="NoSpacing"/>
        <w:rPr>
          <w:rFonts w:ascii="Times New Roman" w:hAnsi="Times New Roman"/>
        </w:rPr>
      </w:pPr>
      <w:r w:rsidRPr="000613D9">
        <w:rPr>
          <w:rStyle w:val="FootnoteReference"/>
          <w:rFonts w:ascii="Times New Roman" w:hAnsi="Times New Roman"/>
        </w:rPr>
        <w:footnoteRef/>
      </w:r>
      <w:r w:rsidRPr="000613D9">
        <w:rPr>
          <w:rFonts w:ascii="Times New Roman" w:hAnsi="Times New Roman"/>
        </w:rPr>
        <w:t xml:space="preserve"> </w:t>
      </w:r>
      <w:r w:rsidR="00383975" w:rsidRPr="000613D9">
        <w:rPr>
          <w:rFonts w:ascii="Times New Roman" w:hAnsi="Times New Roman"/>
        </w:rPr>
        <w:t>At the federal and state level, courts and legislatur</w:t>
      </w:r>
      <w:r w:rsidR="00B83F7C" w:rsidRPr="000613D9">
        <w:rPr>
          <w:rFonts w:ascii="Times New Roman" w:hAnsi="Times New Roman"/>
        </w:rPr>
        <w:t>e</w:t>
      </w:r>
      <w:r w:rsidR="00383975" w:rsidRPr="000613D9">
        <w:rPr>
          <w:rFonts w:ascii="Times New Roman" w:hAnsi="Times New Roman"/>
        </w:rPr>
        <w:t>s</w:t>
      </w:r>
      <w:r w:rsidR="006145AF" w:rsidRPr="000613D9">
        <w:rPr>
          <w:rFonts w:ascii="Times New Roman" w:hAnsi="Times New Roman"/>
        </w:rPr>
        <w:t xml:space="preserve"> have recognized a right to counsel in a range of </w:t>
      </w:r>
      <w:r w:rsidR="00383975" w:rsidRPr="000613D9">
        <w:rPr>
          <w:rFonts w:ascii="Times New Roman" w:hAnsi="Times New Roman"/>
        </w:rPr>
        <w:t xml:space="preserve">contexts </w:t>
      </w:r>
      <w:r w:rsidR="006145AF" w:rsidRPr="000613D9">
        <w:rPr>
          <w:rFonts w:ascii="Times New Roman" w:hAnsi="Times New Roman"/>
        </w:rPr>
        <w:t>that are similar to involuntary outpatient commitment proceedings</w:t>
      </w:r>
      <w:r w:rsidR="009B05F5" w:rsidRPr="000613D9">
        <w:rPr>
          <w:rFonts w:ascii="Times New Roman" w:hAnsi="Times New Roman"/>
        </w:rPr>
        <w:t xml:space="preserve"> with respect to the loss of liberty. </w:t>
      </w:r>
      <w:r w:rsidR="000B481C" w:rsidRPr="000613D9">
        <w:rPr>
          <w:rFonts w:ascii="Times New Roman" w:hAnsi="Times New Roman"/>
        </w:rPr>
        <w:t>I</w:t>
      </w:r>
      <w:r w:rsidR="001D3A69" w:rsidRPr="000613D9">
        <w:rPr>
          <w:rFonts w:ascii="Times New Roman" w:hAnsi="Times New Roman"/>
        </w:rPr>
        <w:t xml:space="preserve">n </w:t>
      </w:r>
      <w:r w:rsidR="001D3A69" w:rsidRPr="000613D9">
        <w:rPr>
          <w:rFonts w:ascii="Times New Roman" w:hAnsi="Times New Roman"/>
          <w:i/>
          <w:iCs/>
        </w:rPr>
        <w:t>In re Gault</w:t>
      </w:r>
      <w:r w:rsidR="001D3A69" w:rsidRPr="000613D9">
        <w:rPr>
          <w:rFonts w:ascii="Times New Roman" w:hAnsi="Times New Roman"/>
        </w:rPr>
        <w:t xml:space="preserve">, the </w:t>
      </w:r>
      <w:r w:rsidR="003879C0" w:rsidRPr="000613D9">
        <w:rPr>
          <w:rFonts w:ascii="Times New Roman" w:hAnsi="Times New Roman"/>
        </w:rPr>
        <w:t xml:space="preserve">Court found a Constitutional right to counsel for youth in delinquency cases. </w:t>
      </w:r>
      <w:r w:rsidR="0054018A" w:rsidRPr="000613D9">
        <w:rPr>
          <w:rFonts w:ascii="Times New Roman" w:hAnsi="Times New Roman"/>
        </w:rPr>
        <w:t xml:space="preserve">Additionally, </w:t>
      </w:r>
      <w:r w:rsidR="00E35195" w:rsidRPr="000613D9">
        <w:rPr>
          <w:rFonts w:ascii="Times New Roman" w:hAnsi="Times New Roman"/>
        </w:rPr>
        <w:t xml:space="preserve">the First Circuit </w:t>
      </w:r>
      <w:r w:rsidR="000B481C" w:rsidRPr="000613D9">
        <w:rPr>
          <w:rFonts w:ascii="Times New Roman" w:hAnsi="Times New Roman"/>
        </w:rPr>
        <w:t xml:space="preserve">Court of Appeals </w:t>
      </w:r>
      <w:r w:rsidR="00E35195" w:rsidRPr="000613D9">
        <w:rPr>
          <w:rFonts w:ascii="Times New Roman" w:hAnsi="Times New Roman"/>
        </w:rPr>
        <w:t xml:space="preserve">has found a </w:t>
      </w:r>
      <w:r w:rsidR="008C03ED" w:rsidRPr="000613D9">
        <w:rPr>
          <w:rFonts w:ascii="Times New Roman" w:hAnsi="Times New Roman"/>
        </w:rPr>
        <w:t xml:space="preserve">Constitutional right to counsel in sexually dangerous person cases under Chapter 123A. </w:t>
      </w:r>
      <w:r w:rsidR="008C03ED" w:rsidRPr="000613D9">
        <w:rPr>
          <w:rFonts w:ascii="Times New Roman" w:hAnsi="Times New Roman"/>
          <w:i/>
          <w:iCs/>
          <w:color w:val="000000"/>
          <w:bdr w:val="none" w:sz="0" w:space="0" w:color="auto" w:frame="1"/>
        </w:rPr>
        <w:t>Sarzen</w:t>
      </w:r>
      <w:r w:rsidR="008C03ED" w:rsidRPr="000613D9">
        <w:rPr>
          <w:rFonts w:ascii="Times New Roman" w:hAnsi="Times New Roman"/>
          <w:i/>
          <w:iCs/>
          <w:color w:val="000000"/>
        </w:rPr>
        <w:t> v. </w:t>
      </w:r>
      <w:r w:rsidR="008C03ED" w:rsidRPr="000613D9">
        <w:rPr>
          <w:rFonts w:ascii="Times New Roman" w:hAnsi="Times New Roman"/>
          <w:i/>
          <w:iCs/>
          <w:color w:val="000000"/>
          <w:bdr w:val="none" w:sz="0" w:space="0" w:color="auto" w:frame="1"/>
        </w:rPr>
        <w:t>Gaughan</w:t>
      </w:r>
      <w:r w:rsidR="008C03ED" w:rsidRPr="000613D9">
        <w:rPr>
          <w:rFonts w:ascii="Times New Roman" w:hAnsi="Times New Roman"/>
          <w:color w:val="000000"/>
        </w:rPr>
        <w:t>, 489 F.2d 1076, 1085–86 (1st Cir. 1973)</w:t>
      </w:r>
      <w:r w:rsidR="00E9375C" w:rsidRPr="000613D9">
        <w:rPr>
          <w:rFonts w:ascii="Times New Roman" w:hAnsi="Times New Roman"/>
          <w:color w:val="000000"/>
        </w:rPr>
        <w:t xml:space="preserve"> </w:t>
      </w:r>
      <w:r w:rsidR="008C03ED" w:rsidRPr="000613D9">
        <w:rPr>
          <w:rFonts w:ascii="Times New Roman" w:hAnsi="Times New Roman"/>
          <w:color w:val="000000"/>
        </w:rPr>
        <w:t>("The assistance of counsel should be offered to indigent inmates soon after the filing with the court, during the 60-day commitment, of a report of sexual dangerousness by the examining psychiatrists")</w:t>
      </w:r>
      <w:r w:rsidR="000B481C" w:rsidRPr="000613D9">
        <w:rPr>
          <w:rFonts w:ascii="Times New Roman" w:hAnsi="Times New Roman"/>
          <w:color w:val="000000"/>
        </w:rPr>
        <w:t>.</w:t>
      </w:r>
      <w:r w:rsidR="008C03ED" w:rsidRPr="000613D9">
        <w:rPr>
          <w:rFonts w:ascii="Times New Roman" w:hAnsi="Times New Roman"/>
          <w:color w:val="000000"/>
        </w:rPr>
        <w:t xml:space="preserve"> </w:t>
      </w:r>
      <w:r w:rsidR="000B481C" w:rsidRPr="000613D9">
        <w:rPr>
          <w:rFonts w:ascii="Times New Roman" w:hAnsi="Times New Roman"/>
        </w:rPr>
        <w:t xml:space="preserve">In </w:t>
      </w:r>
      <w:r w:rsidR="000B481C" w:rsidRPr="000613D9">
        <w:rPr>
          <w:rFonts w:ascii="Times New Roman" w:hAnsi="Times New Roman"/>
          <w:i/>
          <w:iCs/>
        </w:rPr>
        <w:t>Vitek v. Jones</w:t>
      </w:r>
      <w:r w:rsidR="000B481C" w:rsidRPr="000613D9">
        <w:rPr>
          <w:rFonts w:ascii="Times New Roman" w:hAnsi="Times New Roman"/>
        </w:rPr>
        <w:t>, 445 U.S. 480 (1980), the Supreme Court held that a prisoner being involuntarily transferred to a mental health facility was entitled to “independent assistance” due to the stigma of civil commitment.</w:t>
      </w:r>
      <w:r w:rsidR="00F81C77" w:rsidRPr="000613D9">
        <w:rPr>
          <w:rFonts w:ascii="Times New Roman" w:hAnsi="Times New Roman"/>
        </w:rPr>
        <w:t xml:space="preserve"> </w:t>
      </w:r>
    </w:p>
    <w:p w14:paraId="7983F3B1" w14:textId="77777777" w:rsidR="007F5384" w:rsidRPr="000613D9" w:rsidRDefault="007F5384" w:rsidP="00E9375C">
      <w:pPr>
        <w:pStyle w:val="NoSpacing"/>
        <w:rPr>
          <w:rFonts w:ascii="Times New Roman" w:hAnsi="Times New Roman"/>
        </w:rPr>
      </w:pPr>
    </w:p>
    <w:p w14:paraId="753F8E7B" w14:textId="174B3040" w:rsidR="0082125D" w:rsidRPr="000613D9" w:rsidRDefault="00F81C77" w:rsidP="00461A7F">
      <w:pPr>
        <w:pStyle w:val="FootnoteText"/>
        <w:rPr>
          <w:sz w:val="22"/>
          <w:szCs w:val="22"/>
        </w:rPr>
      </w:pPr>
      <w:r w:rsidRPr="000613D9">
        <w:rPr>
          <w:sz w:val="22"/>
          <w:szCs w:val="22"/>
        </w:rPr>
        <w:t xml:space="preserve">By statute, </w:t>
      </w:r>
      <w:r w:rsidR="00383975" w:rsidRPr="000613D9">
        <w:rPr>
          <w:sz w:val="22"/>
          <w:szCs w:val="22"/>
        </w:rPr>
        <w:t>Massachusetts provide</w:t>
      </w:r>
      <w:r w:rsidRPr="000613D9">
        <w:rPr>
          <w:sz w:val="22"/>
          <w:szCs w:val="22"/>
        </w:rPr>
        <w:t>s for</w:t>
      </w:r>
      <w:r w:rsidR="009D7D2B">
        <w:rPr>
          <w:sz w:val="22"/>
          <w:szCs w:val="22"/>
        </w:rPr>
        <w:t xml:space="preserve"> </w:t>
      </w:r>
      <w:r w:rsidR="00383975" w:rsidRPr="000613D9">
        <w:rPr>
          <w:sz w:val="22"/>
          <w:szCs w:val="22"/>
        </w:rPr>
        <w:t xml:space="preserve">a right to counsel </w:t>
      </w:r>
      <w:r w:rsidR="00C54143" w:rsidRPr="000613D9">
        <w:rPr>
          <w:sz w:val="22"/>
          <w:szCs w:val="22"/>
        </w:rPr>
        <w:t>in civil commitment cases, sexually dangerous person cases, some guardianship proceedings, and in Section 35 civil commitment</w:t>
      </w:r>
      <w:r w:rsidR="00E25CF4" w:rsidRPr="000613D9">
        <w:rPr>
          <w:sz w:val="22"/>
          <w:szCs w:val="22"/>
        </w:rPr>
        <w:t xml:space="preserve">s for substance use treatment cases. The SJC </w:t>
      </w:r>
      <w:r w:rsidR="00B83F7C" w:rsidRPr="000613D9">
        <w:rPr>
          <w:color w:val="000000"/>
          <w:sz w:val="22"/>
          <w:szCs w:val="22"/>
        </w:rPr>
        <w:t xml:space="preserve">has required appointment of counsel </w:t>
      </w:r>
      <w:r w:rsidRPr="000613D9">
        <w:rPr>
          <w:color w:val="000000"/>
          <w:sz w:val="22"/>
          <w:szCs w:val="22"/>
        </w:rPr>
        <w:t>in involuntary treatment cases for individuals both in the community and in facilities</w:t>
      </w:r>
      <w:r w:rsidR="006D538F">
        <w:rPr>
          <w:color w:val="000000"/>
          <w:sz w:val="22"/>
          <w:szCs w:val="22"/>
        </w:rPr>
        <w:t xml:space="preserve">, </w:t>
      </w:r>
      <w:r w:rsidR="006D538F" w:rsidRPr="006D538F">
        <w:rPr>
          <w:i/>
          <w:iCs/>
          <w:color w:val="000000"/>
          <w:sz w:val="22"/>
          <w:szCs w:val="22"/>
        </w:rPr>
        <w:t>s</w:t>
      </w:r>
      <w:r w:rsidRPr="000613D9">
        <w:rPr>
          <w:i/>
          <w:iCs/>
          <w:color w:val="000000"/>
          <w:sz w:val="22"/>
          <w:szCs w:val="22"/>
        </w:rPr>
        <w:t xml:space="preserve">ee </w:t>
      </w:r>
      <w:r w:rsidR="00E20F67" w:rsidRPr="000613D9">
        <w:rPr>
          <w:i/>
          <w:iCs/>
          <w:color w:val="000000"/>
          <w:sz w:val="22"/>
          <w:szCs w:val="22"/>
        </w:rPr>
        <w:t>Superintendent of Belchertown State School v. Saikewicz</w:t>
      </w:r>
      <w:r w:rsidR="00E20F67" w:rsidRPr="000613D9">
        <w:rPr>
          <w:color w:val="000000"/>
          <w:sz w:val="22"/>
          <w:szCs w:val="22"/>
        </w:rPr>
        <w:t>,</w:t>
      </w:r>
      <w:r w:rsidR="00E20F67" w:rsidRPr="000613D9">
        <w:rPr>
          <w:i/>
          <w:iCs/>
          <w:color w:val="000000"/>
          <w:sz w:val="22"/>
          <w:szCs w:val="22"/>
        </w:rPr>
        <w:t xml:space="preserve"> </w:t>
      </w:r>
      <w:r w:rsidR="00E20F67" w:rsidRPr="000613D9">
        <w:rPr>
          <w:color w:val="000000"/>
          <w:sz w:val="22"/>
          <w:szCs w:val="22"/>
        </w:rPr>
        <w:t>373 Mass. 728 (1977)</w:t>
      </w:r>
      <w:r w:rsidR="00461A7F">
        <w:rPr>
          <w:color w:val="000000"/>
          <w:sz w:val="22"/>
          <w:szCs w:val="22"/>
        </w:rPr>
        <w:t xml:space="preserve">; </w:t>
      </w:r>
      <w:r w:rsidR="00A53923" w:rsidRPr="000613D9">
        <w:rPr>
          <w:i/>
          <w:iCs/>
          <w:color w:val="000000"/>
          <w:sz w:val="22"/>
          <w:szCs w:val="22"/>
        </w:rPr>
        <w:t>Guardianship of Roe III</w:t>
      </w:r>
      <w:r w:rsidR="00A53923" w:rsidRPr="000613D9">
        <w:rPr>
          <w:color w:val="000000"/>
          <w:sz w:val="22"/>
          <w:szCs w:val="22"/>
        </w:rPr>
        <w:t>,</w:t>
      </w:r>
      <w:r w:rsidR="00A53923" w:rsidRPr="000613D9">
        <w:rPr>
          <w:i/>
          <w:iCs/>
          <w:color w:val="000000"/>
          <w:sz w:val="22"/>
          <w:szCs w:val="22"/>
        </w:rPr>
        <w:t xml:space="preserve"> </w:t>
      </w:r>
      <w:r w:rsidR="00A53923" w:rsidRPr="000613D9">
        <w:rPr>
          <w:color w:val="000000"/>
          <w:sz w:val="22"/>
          <w:szCs w:val="22"/>
        </w:rPr>
        <w:t>383 Mass.</w:t>
      </w:r>
      <w:r w:rsidR="00F51C11" w:rsidRPr="000613D9">
        <w:rPr>
          <w:color w:val="000000"/>
          <w:sz w:val="22"/>
          <w:szCs w:val="22"/>
        </w:rPr>
        <w:t xml:space="preserve"> 415 (</w:t>
      </w:r>
      <w:r w:rsidR="00EC645B" w:rsidRPr="000613D9">
        <w:rPr>
          <w:color w:val="000000"/>
          <w:sz w:val="22"/>
          <w:szCs w:val="22"/>
        </w:rPr>
        <w:t>1981)</w:t>
      </w:r>
      <w:r w:rsidR="00A53923" w:rsidRPr="000613D9">
        <w:rPr>
          <w:color w:val="000000"/>
          <w:sz w:val="22"/>
          <w:szCs w:val="22"/>
        </w:rPr>
        <w:t xml:space="preserve">; </w:t>
      </w:r>
      <w:r w:rsidR="00A53923" w:rsidRPr="000613D9">
        <w:rPr>
          <w:i/>
          <w:iCs/>
          <w:color w:val="000000"/>
          <w:sz w:val="22"/>
          <w:szCs w:val="22"/>
        </w:rPr>
        <w:t>Rogers v. Commissioner of Dept. of Mental Health</w:t>
      </w:r>
      <w:r w:rsidR="00A53923" w:rsidRPr="000613D9">
        <w:rPr>
          <w:color w:val="000000"/>
          <w:sz w:val="22"/>
          <w:szCs w:val="22"/>
        </w:rPr>
        <w:t>,</w:t>
      </w:r>
      <w:r w:rsidR="00A53923" w:rsidRPr="000613D9">
        <w:rPr>
          <w:i/>
          <w:iCs/>
          <w:color w:val="000000"/>
          <w:sz w:val="22"/>
          <w:szCs w:val="22"/>
        </w:rPr>
        <w:t xml:space="preserve"> </w:t>
      </w:r>
      <w:r w:rsidR="00A53923" w:rsidRPr="000613D9">
        <w:rPr>
          <w:color w:val="000000"/>
          <w:sz w:val="22"/>
          <w:szCs w:val="22"/>
        </w:rPr>
        <w:t>390 Mass. 489</w:t>
      </w:r>
      <w:r w:rsidR="00EC645B" w:rsidRPr="000613D9">
        <w:rPr>
          <w:color w:val="000000"/>
          <w:sz w:val="22"/>
          <w:szCs w:val="22"/>
        </w:rPr>
        <w:t xml:space="preserve"> (</w:t>
      </w:r>
      <w:r w:rsidR="00A53923" w:rsidRPr="000613D9">
        <w:rPr>
          <w:color w:val="000000"/>
          <w:sz w:val="22"/>
          <w:szCs w:val="22"/>
        </w:rPr>
        <w:t>1983)</w:t>
      </w:r>
      <w:r w:rsidRPr="000613D9">
        <w:rPr>
          <w:color w:val="000000"/>
          <w:sz w:val="22"/>
          <w:szCs w:val="22"/>
        </w:rPr>
        <w:t xml:space="preserve">, and </w:t>
      </w:r>
      <w:r w:rsidR="00B83F7C" w:rsidRPr="000613D9">
        <w:rPr>
          <w:color w:val="000000"/>
          <w:sz w:val="22"/>
          <w:szCs w:val="22"/>
        </w:rPr>
        <w:t xml:space="preserve">for parents in guardianship custody cases. </w:t>
      </w:r>
      <w:r w:rsidR="00B83F7C" w:rsidRPr="000613D9">
        <w:rPr>
          <w:i/>
          <w:iCs/>
          <w:color w:val="000000"/>
          <w:sz w:val="22"/>
          <w:szCs w:val="22"/>
        </w:rPr>
        <w:t>Guardianship of V</w:t>
      </w:r>
      <w:r w:rsidR="00B43D86" w:rsidRPr="000613D9">
        <w:rPr>
          <w:i/>
          <w:iCs/>
          <w:color w:val="000000"/>
          <w:sz w:val="22"/>
          <w:szCs w:val="22"/>
        </w:rPr>
        <w:t>.</w:t>
      </w:r>
      <w:r w:rsidR="00B83F7C" w:rsidRPr="000613D9">
        <w:rPr>
          <w:i/>
          <w:iCs/>
          <w:color w:val="000000"/>
          <w:sz w:val="22"/>
          <w:szCs w:val="22"/>
        </w:rPr>
        <w:t>V</w:t>
      </w:r>
      <w:r w:rsidR="00B43D86" w:rsidRPr="000613D9">
        <w:rPr>
          <w:i/>
          <w:iCs/>
          <w:color w:val="000000"/>
          <w:sz w:val="22"/>
          <w:szCs w:val="22"/>
        </w:rPr>
        <w:t>.</w:t>
      </w:r>
      <w:r w:rsidR="00B83F7C" w:rsidRPr="000613D9">
        <w:rPr>
          <w:color w:val="000000"/>
          <w:sz w:val="22"/>
          <w:szCs w:val="22"/>
        </w:rPr>
        <w:t xml:space="preserve">, 470 Mass. 590 (2015). </w:t>
      </w:r>
      <w:r w:rsidR="00794359" w:rsidRPr="000613D9">
        <w:rPr>
          <w:color w:val="000000"/>
          <w:sz w:val="22"/>
          <w:szCs w:val="22"/>
        </w:rPr>
        <w:t xml:space="preserve">In all states, </w:t>
      </w:r>
      <w:r w:rsidR="00B70CA2">
        <w:rPr>
          <w:color w:val="000000"/>
          <w:sz w:val="22"/>
          <w:szCs w:val="22"/>
        </w:rPr>
        <w:t>l</w:t>
      </w:r>
      <w:r w:rsidR="00794359" w:rsidRPr="000613D9">
        <w:rPr>
          <w:color w:val="000000"/>
          <w:sz w:val="22"/>
          <w:szCs w:val="22"/>
        </w:rPr>
        <w:t xml:space="preserve">egislatures have passed statutes providing a right to counsel in most civil commitment cases and in a few </w:t>
      </w:r>
      <w:r w:rsidR="00D81233" w:rsidRPr="000613D9">
        <w:rPr>
          <w:color w:val="000000"/>
          <w:sz w:val="22"/>
          <w:szCs w:val="22"/>
        </w:rPr>
        <w:t xml:space="preserve">states, state courts have found a constitutional right to counsel in such cases. </w:t>
      </w:r>
      <w:r w:rsidR="00B42819" w:rsidRPr="000613D9">
        <w:rPr>
          <w:i/>
          <w:iCs/>
          <w:color w:val="000000"/>
          <w:sz w:val="22"/>
          <w:szCs w:val="22"/>
        </w:rPr>
        <w:t xml:space="preserve">See </w:t>
      </w:r>
      <w:r w:rsidR="00B42819" w:rsidRPr="000613D9">
        <w:rPr>
          <w:color w:val="000000"/>
          <w:sz w:val="22"/>
          <w:szCs w:val="22"/>
        </w:rPr>
        <w:t>John Pollock, </w:t>
      </w:r>
      <w:r w:rsidR="00B42819" w:rsidRPr="000613D9">
        <w:rPr>
          <w:color w:val="000000"/>
          <w:sz w:val="22"/>
          <w:szCs w:val="22"/>
          <w:bdr w:val="none" w:sz="0" w:space="0" w:color="auto" w:frame="1"/>
        </w:rPr>
        <w:t>The Case Against Case-by-Case: Courts Identifying Categorical Rights to Counsel in Basic Human Needs Civil Cases</w:t>
      </w:r>
      <w:r w:rsidR="00B42819" w:rsidRPr="000613D9">
        <w:rPr>
          <w:color w:val="000000"/>
          <w:sz w:val="22"/>
          <w:szCs w:val="22"/>
        </w:rPr>
        <w:t xml:space="preserve">, 61 </w:t>
      </w:r>
      <w:r w:rsidR="00B42819" w:rsidRPr="007F5384">
        <w:rPr>
          <w:smallCaps/>
          <w:color w:val="000000"/>
          <w:sz w:val="22"/>
          <w:szCs w:val="22"/>
        </w:rPr>
        <w:t>Drake L</w:t>
      </w:r>
      <w:r w:rsidR="007F5384">
        <w:rPr>
          <w:smallCaps/>
          <w:color w:val="000000"/>
          <w:sz w:val="22"/>
          <w:szCs w:val="22"/>
        </w:rPr>
        <w:t>aw</w:t>
      </w:r>
      <w:r w:rsidR="00B42819" w:rsidRPr="007F5384">
        <w:rPr>
          <w:smallCaps/>
          <w:color w:val="000000"/>
          <w:sz w:val="22"/>
          <w:szCs w:val="22"/>
        </w:rPr>
        <w:t xml:space="preserve"> Rev.</w:t>
      </w:r>
      <w:r w:rsidR="00B42819" w:rsidRPr="000613D9">
        <w:rPr>
          <w:color w:val="000000"/>
          <w:sz w:val="22"/>
          <w:szCs w:val="22"/>
        </w:rPr>
        <w:t xml:space="preserve"> 763, 815 (2013).</w:t>
      </w:r>
      <w:r w:rsidR="0054018A" w:rsidRPr="000613D9">
        <w:rPr>
          <w:color w:val="000000"/>
          <w:sz w:val="22"/>
          <w:szCs w:val="22"/>
        </w:rPr>
        <w:t xml:space="preserve"> Finally,</w:t>
      </w:r>
      <w:r w:rsidR="00402E99" w:rsidRPr="000613D9">
        <w:rPr>
          <w:color w:val="000000"/>
          <w:sz w:val="22"/>
          <w:szCs w:val="22"/>
        </w:rPr>
        <w:t xml:space="preserve"> the right to counsel should attach to </w:t>
      </w:r>
      <w:r w:rsidR="00885601" w:rsidRPr="000613D9">
        <w:rPr>
          <w:color w:val="000000"/>
          <w:sz w:val="22"/>
          <w:szCs w:val="22"/>
        </w:rPr>
        <w:t xml:space="preserve">involuntary </w:t>
      </w:r>
      <w:r w:rsidR="00402E99" w:rsidRPr="000613D9">
        <w:rPr>
          <w:color w:val="000000"/>
          <w:sz w:val="22"/>
          <w:szCs w:val="22"/>
        </w:rPr>
        <w:t>outpatient commitment</w:t>
      </w:r>
      <w:r w:rsidR="00885601" w:rsidRPr="000613D9">
        <w:rPr>
          <w:color w:val="000000"/>
          <w:sz w:val="22"/>
          <w:szCs w:val="22"/>
        </w:rPr>
        <w:t xml:space="preserve"> proceedings not only due to the potential loss of liberty, but also due to the </w:t>
      </w:r>
      <w:r w:rsidR="00930439" w:rsidRPr="000613D9">
        <w:rPr>
          <w:color w:val="000000"/>
          <w:sz w:val="22"/>
          <w:szCs w:val="22"/>
        </w:rPr>
        <w:t>potential to lose the right to make one’s own medical decision</w:t>
      </w:r>
      <w:r w:rsidR="003272DC" w:rsidRPr="000613D9">
        <w:rPr>
          <w:color w:val="000000"/>
          <w:sz w:val="22"/>
          <w:szCs w:val="22"/>
        </w:rPr>
        <w:t xml:space="preserve">s. </w:t>
      </w:r>
    </w:p>
  </w:footnote>
  <w:footnote w:id="27">
    <w:p w14:paraId="6810BA9B" w14:textId="24F3405E" w:rsidR="006C7F4C" w:rsidRPr="000613D9" w:rsidRDefault="006C7F4C">
      <w:pPr>
        <w:pStyle w:val="FootnoteText"/>
        <w:rPr>
          <w:sz w:val="22"/>
          <w:szCs w:val="22"/>
        </w:rPr>
      </w:pPr>
      <w:r w:rsidRPr="000613D9">
        <w:rPr>
          <w:rStyle w:val="FootnoteReference"/>
          <w:sz w:val="22"/>
          <w:szCs w:val="22"/>
        </w:rPr>
        <w:footnoteRef/>
      </w:r>
      <w:r w:rsidRPr="000613D9">
        <w:rPr>
          <w:sz w:val="22"/>
          <w:szCs w:val="22"/>
        </w:rPr>
        <w:t xml:space="preserve"> Email </w:t>
      </w:r>
      <w:r w:rsidR="00E9375C" w:rsidRPr="000613D9">
        <w:rPr>
          <w:sz w:val="22"/>
          <w:szCs w:val="22"/>
        </w:rPr>
        <w:t xml:space="preserve">correspondence </w:t>
      </w:r>
      <w:r w:rsidRPr="000613D9">
        <w:rPr>
          <w:sz w:val="22"/>
          <w:szCs w:val="22"/>
        </w:rPr>
        <w:t>from Laura Sanford, Director, Mental Health</w:t>
      </w:r>
      <w:r w:rsidR="00DA1AF3">
        <w:rPr>
          <w:sz w:val="22"/>
          <w:szCs w:val="22"/>
        </w:rPr>
        <w:t xml:space="preserve"> Litigation Unit, Committee for Public Counsel Services</w:t>
      </w:r>
      <w:r w:rsidRPr="000613D9">
        <w:rPr>
          <w:sz w:val="22"/>
          <w:szCs w:val="22"/>
        </w:rPr>
        <w:t xml:space="preserve"> </w:t>
      </w:r>
      <w:r w:rsidR="00633A2C" w:rsidRPr="000613D9">
        <w:rPr>
          <w:sz w:val="22"/>
          <w:szCs w:val="22"/>
        </w:rPr>
        <w:t>to Jennifer Honig</w:t>
      </w:r>
      <w:r w:rsidR="00E9375C" w:rsidRPr="000613D9">
        <w:rPr>
          <w:sz w:val="22"/>
          <w:szCs w:val="22"/>
        </w:rPr>
        <w:t xml:space="preserve"> and others</w:t>
      </w:r>
      <w:r w:rsidR="00633A2C" w:rsidRPr="000613D9">
        <w:rPr>
          <w:sz w:val="22"/>
          <w:szCs w:val="22"/>
        </w:rPr>
        <w:t>,</w:t>
      </w:r>
      <w:r w:rsidR="00E9375C" w:rsidRPr="000613D9">
        <w:rPr>
          <w:sz w:val="22"/>
          <w:szCs w:val="22"/>
        </w:rPr>
        <w:t xml:space="preserve"> Mass. Ass</w:t>
      </w:r>
      <w:r w:rsidR="007F5384">
        <w:rPr>
          <w:sz w:val="22"/>
          <w:szCs w:val="22"/>
        </w:rPr>
        <w:t>’n</w:t>
      </w:r>
      <w:r w:rsidR="00E9375C" w:rsidRPr="000613D9">
        <w:rPr>
          <w:sz w:val="22"/>
          <w:szCs w:val="22"/>
        </w:rPr>
        <w:t xml:space="preserve"> for Mental Health (Apr. 6, 2023).</w:t>
      </w:r>
    </w:p>
  </w:footnote>
  <w:footnote w:id="28">
    <w:p w14:paraId="75BEBE35" w14:textId="77777777" w:rsidR="00353628" w:rsidRPr="000613D9" w:rsidRDefault="00353628" w:rsidP="00353628">
      <w:pPr>
        <w:pStyle w:val="Defaul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See</w:t>
      </w:r>
      <w:r w:rsidRPr="000613D9">
        <w:rPr>
          <w:sz w:val="22"/>
          <w:szCs w:val="22"/>
        </w:rPr>
        <w:t xml:space="preserve"> </w:t>
      </w:r>
      <w:r w:rsidRPr="000613D9">
        <w:rPr>
          <w:i/>
          <w:iCs/>
          <w:sz w:val="22"/>
          <w:szCs w:val="22"/>
        </w:rPr>
        <w:t>Olmstead v. L.C.</w:t>
      </w:r>
      <w:r w:rsidRPr="000613D9">
        <w:rPr>
          <w:sz w:val="22"/>
          <w:szCs w:val="22"/>
        </w:rPr>
        <w:t>,</w:t>
      </w:r>
      <w:r w:rsidRPr="000613D9">
        <w:rPr>
          <w:i/>
          <w:iCs/>
          <w:sz w:val="22"/>
          <w:szCs w:val="22"/>
        </w:rPr>
        <w:t xml:space="preserve"> </w:t>
      </w:r>
      <w:r w:rsidRPr="000613D9">
        <w:rPr>
          <w:sz w:val="22"/>
          <w:szCs w:val="22"/>
        </w:rPr>
        <w:t>527 U.S. 581, 610 (1999) ("The opinion of a responsible treating physician in determining the appropriate conditions for treatment ought to be given the greatest of deference").</w:t>
      </w:r>
    </w:p>
    <w:p w14:paraId="0D7C0A5C" w14:textId="3193E5ED" w:rsidR="00353628" w:rsidRPr="000613D9" w:rsidRDefault="00353628">
      <w:pPr>
        <w:pStyle w:val="FootnoteText"/>
        <w:rPr>
          <w:sz w:val="22"/>
          <w:szCs w:val="22"/>
        </w:rPr>
      </w:pPr>
    </w:p>
  </w:footnote>
  <w:footnote w:id="29">
    <w:p w14:paraId="2CE405DF" w14:textId="0100ABAA" w:rsidR="00044BB6" w:rsidRPr="000613D9" w:rsidRDefault="00044BB6">
      <w:pPr>
        <w:pStyle w:val="FootnoteText"/>
        <w:rPr>
          <w:sz w:val="22"/>
          <w:szCs w:val="22"/>
        </w:rPr>
      </w:pPr>
      <w:r w:rsidRPr="000613D9">
        <w:rPr>
          <w:rStyle w:val="FootnoteReference"/>
          <w:sz w:val="22"/>
          <w:szCs w:val="22"/>
        </w:rPr>
        <w:footnoteRef/>
      </w:r>
      <w:r w:rsidRPr="000613D9">
        <w:rPr>
          <w:sz w:val="22"/>
          <w:szCs w:val="22"/>
        </w:rPr>
        <w:t xml:space="preserve"> </w:t>
      </w:r>
      <w:r w:rsidR="00CF08E6">
        <w:rPr>
          <w:sz w:val="22"/>
          <w:szCs w:val="22"/>
        </w:rPr>
        <w:t xml:space="preserve">Rand Report, </w:t>
      </w:r>
      <w:r w:rsidR="00CF08E6" w:rsidRPr="00CF08E6">
        <w:rPr>
          <w:i/>
          <w:iCs/>
          <w:sz w:val="22"/>
          <w:szCs w:val="22"/>
        </w:rPr>
        <w:t xml:space="preserve">supra </w:t>
      </w:r>
      <w:r w:rsidR="00CF08E6">
        <w:rPr>
          <w:sz w:val="22"/>
          <w:szCs w:val="22"/>
        </w:rPr>
        <w:t>note 2.</w:t>
      </w:r>
    </w:p>
  </w:footnote>
  <w:footnote w:id="30">
    <w:p w14:paraId="5088793F" w14:textId="7DC6B07A" w:rsidR="00044BB6" w:rsidRPr="000613D9" w:rsidRDefault="00044BB6">
      <w:pPr>
        <w:pStyle w:val="FootnoteText"/>
        <w:rPr>
          <w:sz w:val="22"/>
          <w:szCs w:val="22"/>
        </w:rPr>
      </w:pPr>
      <w:r w:rsidRPr="000613D9">
        <w:rPr>
          <w:rStyle w:val="FootnoteReference"/>
          <w:sz w:val="22"/>
          <w:szCs w:val="22"/>
        </w:rPr>
        <w:footnoteRef/>
      </w:r>
      <w:r w:rsidRPr="000613D9">
        <w:rPr>
          <w:sz w:val="22"/>
          <w:szCs w:val="22"/>
        </w:rPr>
        <w:t xml:space="preserve"> </w:t>
      </w:r>
      <w:r w:rsidR="00CF08E6">
        <w:rPr>
          <w:i/>
          <w:iCs/>
          <w:color w:val="000000"/>
          <w:sz w:val="22"/>
          <w:szCs w:val="22"/>
        </w:rPr>
        <w:t>Id.</w:t>
      </w:r>
      <w:r w:rsidRPr="000613D9">
        <w:rPr>
          <w:i/>
          <w:iCs/>
          <w:color w:val="000000"/>
          <w:sz w:val="22"/>
          <w:szCs w:val="22"/>
        </w:rPr>
        <w:t xml:space="preserve"> </w:t>
      </w:r>
      <w:r w:rsidRPr="000613D9">
        <w:rPr>
          <w:color w:val="000000"/>
          <w:sz w:val="22"/>
          <w:szCs w:val="22"/>
        </w:rPr>
        <w:t>at 64.</w:t>
      </w:r>
    </w:p>
  </w:footnote>
  <w:footnote w:id="31">
    <w:p w14:paraId="5BCD9B80" w14:textId="79ED7CEA" w:rsidR="00044BB6" w:rsidRPr="000613D9" w:rsidRDefault="00044BB6">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See</w:t>
      </w:r>
      <w:r w:rsidRPr="000613D9">
        <w:rPr>
          <w:sz w:val="22"/>
          <w:szCs w:val="22"/>
        </w:rPr>
        <w:t xml:space="preserve">, </w:t>
      </w:r>
      <w:r w:rsidRPr="000613D9">
        <w:rPr>
          <w:i/>
          <w:iCs/>
          <w:sz w:val="22"/>
          <w:szCs w:val="22"/>
        </w:rPr>
        <w:t>e.g.</w:t>
      </w:r>
      <w:r w:rsidRPr="000613D9">
        <w:rPr>
          <w:sz w:val="22"/>
          <w:szCs w:val="22"/>
        </w:rPr>
        <w:t xml:space="preserve">, Mark J. Cherry, </w:t>
      </w:r>
      <w:r w:rsidRPr="000613D9">
        <w:rPr>
          <w:i/>
          <w:iCs/>
          <w:sz w:val="22"/>
          <w:szCs w:val="22"/>
        </w:rPr>
        <w:t>Non-Consensual Treatment is (Nearly Always) Morally Impermissible</w:t>
      </w:r>
      <w:r w:rsidRPr="000613D9">
        <w:rPr>
          <w:sz w:val="22"/>
          <w:szCs w:val="22"/>
        </w:rPr>
        <w:t xml:space="preserve">, 38 </w:t>
      </w:r>
      <w:r w:rsidRPr="00CF08E6">
        <w:rPr>
          <w:smallCaps/>
          <w:sz w:val="22"/>
          <w:szCs w:val="22"/>
        </w:rPr>
        <w:t>J.L. Med. &amp; Ethics</w:t>
      </w:r>
      <w:r w:rsidRPr="000613D9">
        <w:rPr>
          <w:sz w:val="22"/>
          <w:szCs w:val="22"/>
        </w:rPr>
        <w:t xml:space="preserve"> </w:t>
      </w:r>
      <w:r w:rsidR="001D4163">
        <w:rPr>
          <w:sz w:val="22"/>
          <w:szCs w:val="22"/>
        </w:rPr>
        <w:t>4</w:t>
      </w:r>
      <w:r w:rsidR="001F3EEF">
        <w:rPr>
          <w:sz w:val="22"/>
          <w:szCs w:val="22"/>
        </w:rPr>
        <w:t xml:space="preserve">, </w:t>
      </w:r>
      <w:r w:rsidRPr="000613D9">
        <w:rPr>
          <w:sz w:val="22"/>
          <w:szCs w:val="22"/>
        </w:rPr>
        <w:t>789</w:t>
      </w:r>
      <w:r w:rsidR="001F3EEF">
        <w:rPr>
          <w:sz w:val="22"/>
          <w:szCs w:val="22"/>
        </w:rPr>
        <w:t>-98</w:t>
      </w:r>
      <w:r w:rsidRPr="000613D9">
        <w:rPr>
          <w:sz w:val="22"/>
          <w:szCs w:val="22"/>
        </w:rPr>
        <w:t xml:space="preserve">, </w:t>
      </w:r>
      <w:r w:rsidR="001F3EEF">
        <w:rPr>
          <w:sz w:val="22"/>
          <w:szCs w:val="22"/>
        </w:rPr>
        <w:t>at 7</w:t>
      </w:r>
      <w:r w:rsidRPr="000613D9">
        <w:rPr>
          <w:sz w:val="22"/>
          <w:szCs w:val="22"/>
        </w:rPr>
        <w:t>91-792 (2010).</w:t>
      </w:r>
    </w:p>
  </w:footnote>
  <w:footnote w:id="32">
    <w:p w14:paraId="7EA91521" w14:textId="7DAFB2B4" w:rsidR="00307052" w:rsidRPr="000613D9" w:rsidRDefault="00307052" w:rsidP="009D7EB1">
      <w:pPr>
        <w:pStyle w:val="NoSpacing"/>
      </w:pPr>
      <w:r w:rsidRPr="000613D9">
        <w:rPr>
          <w:rStyle w:val="FootnoteReference"/>
          <w:rFonts w:ascii="Times New Roman" w:hAnsi="Times New Roman"/>
        </w:rPr>
        <w:footnoteRef/>
      </w:r>
      <w:r w:rsidRPr="000613D9">
        <w:rPr>
          <w:rFonts w:ascii="Times New Roman" w:hAnsi="Times New Roman"/>
        </w:rPr>
        <w:t xml:space="preserve"> </w:t>
      </w:r>
      <w:r w:rsidRPr="000613D9">
        <w:rPr>
          <w:rFonts w:ascii="Times New Roman" w:hAnsi="Times New Roman"/>
          <w:i/>
          <w:iCs/>
        </w:rPr>
        <w:t xml:space="preserve">See </w:t>
      </w:r>
      <w:r w:rsidRPr="000613D9">
        <w:rPr>
          <w:rStyle w:val="normaltextrun"/>
          <w:color w:val="000000"/>
        </w:rPr>
        <w:t xml:space="preserve">Jennifer L. Strauss </w:t>
      </w:r>
      <w:r w:rsidRPr="000613D9">
        <w:rPr>
          <w:rStyle w:val="normaltextrun"/>
          <w:i/>
          <w:iCs/>
          <w:color w:val="000000"/>
        </w:rPr>
        <w:t>et al.</w:t>
      </w:r>
      <w:r w:rsidRPr="000613D9">
        <w:rPr>
          <w:rStyle w:val="normaltextrun"/>
          <w:color w:val="000000"/>
        </w:rPr>
        <w:t xml:space="preserve">, </w:t>
      </w:r>
      <w:r w:rsidRPr="000613D9">
        <w:rPr>
          <w:rStyle w:val="normaltextrun"/>
          <w:i/>
          <w:iCs/>
          <w:color w:val="000000"/>
        </w:rPr>
        <w:t>Adverse impact of coercive treatments on psychiatric inpatients' satisfaction with care</w:t>
      </w:r>
      <w:r w:rsidRPr="000613D9">
        <w:rPr>
          <w:rStyle w:val="normaltextrun"/>
          <w:color w:val="000000"/>
        </w:rPr>
        <w:t xml:space="preserve">, 49 </w:t>
      </w:r>
      <w:r w:rsidRPr="00C96BF8">
        <w:rPr>
          <w:rStyle w:val="normaltextrun"/>
          <w:smallCaps/>
          <w:color w:val="000000"/>
        </w:rPr>
        <w:t>C</w:t>
      </w:r>
      <w:r w:rsidR="00490EF8">
        <w:rPr>
          <w:rStyle w:val="normaltextrun"/>
          <w:smallCaps/>
          <w:color w:val="000000"/>
        </w:rPr>
        <w:t>MT</w:t>
      </w:r>
      <w:r w:rsidRPr="00C96BF8">
        <w:rPr>
          <w:rStyle w:val="normaltextrun"/>
          <w:smallCaps/>
          <w:color w:val="000000"/>
        </w:rPr>
        <w:t>y</w:t>
      </w:r>
      <w:r w:rsidR="00490EF8">
        <w:rPr>
          <w:rStyle w:val="normaltextrun"/>
          <w:smallCaps/>
          <w:color w:val="000000"/>
        </w:rPr>
        <w:t>.</w:t>
      </w:r>
      <w:r w:rsidRPr="00C96BF8">
        <w:rPr>
          <w:rStyle w:val="normaltextrun"/>
          <w:smallCaps/>
          <w:color w:val="000000"/>
        </w:rPr>
        <w:t xml:space="preserve"> Mental Health J</w:t>
      </w:r>
      <w:r w:rsidRPr="000613D9">
        <w:rPr>
          <w:rStyle w:val="normaltextrun"/>
          <w:color w:val="000000"/>
        </w:rPr>
        <w:t>. 457 (2013) (consumer satisfaction with inpatient mental health care is a key predictor of functional and clinical outcomes; lower satisfaction is associated with involuntary admission and perceived coercion during hospitalization.)</w:t>
      </w:r>
      <w:r w:rsidRPr="000613D9">
        <w:rPr>
          <w:rStyle w:val="normaltextrun"/>
          <w:color w:val="212121"/>
        </w:rPr>
        <w:t> </w:t>
      </w:r>
      <w:r w:rsidRPr="000613D9">
        <w:rPr>
          <w:rStyle w:val="eop"/>
          <w:color w:val="212121"/>
        </w:rPr>
        <w:t> </w:t>
      </w:r>
    </w:p>
  </w:footnote>
  <w:footnote w:id="33">
    <w:p w14:paraId="3069F249" w14:textId="77777777"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color w:val="000000"/>
          <w:sz w:val="22"/>
          <w:szCs w:val="22"/>
        </w:rPr>
        <w:t xml:space="preserve">Honig &amp; Stefan, </w:t>
      </w:r>
      <w:r w:rsidRPr="000613D9">
        <w:rPr>
          <w:i/>
          <w:iCs/>
          <w:color w:val="000000"/>
          <w:sz w:val="22"/>
          <w:szCs w:val="22"/>
        </w:rPr>
        <w:t>supra.</w:t>
      </w:r>
    </w:p>
  </w:footnote>
  <w:footnote w:id="34">
    <w:p w14:paraId="6B80B9FA" w14:textId="73936BF0" w:rsidR="00BB3335" w:rsidRPr="000613D9" w:rsidRDefault="00BB3335" w:rsidP="00BB3335">
      <w:pPr>
        <w:pStyle w:val="NoSpacing"/>
        <w:rPr>
          <w:rFonts w:ascii="Times New Roman" w:hAnsi="Times New Roman"/>
        </w:rPr>
      </w:pPr>
      <w:r w:rsidRPr="000613D9">
        <w:rPr>
          <w:rStyle w:val="FootnoteReference"/>
          <w:rFonts w:ascii="Times New Roman" w:hAnsi="Times New Roman"/>
        </w:rPr>
        <w:footnoteRef/>
      </w:r>
      <w:r w:rsidRPr="000613D9">
        <w:rPr>
          <w:rFonts w:ascii="Times New Roman" w:hAnsi="Times New Roman"/>
        </w:rPr>
        <w:t xml:space="preserve"> </w:t>
      </w:r>
      <w:r w:rsidRPr="000613D9">
        <w:rPr>
          <w:rFonts w:ascii="Times New Roman" w:hAnsi="Times New Roman"/>
          <w:i/>
          <w:iCs/>
          <w:color w:val="000000"/>
        </w:rPr>
        <w:t xml:space="preserve">See </w:t>
      </w:r>
      <w:r w:rsidRPr="000613D9">
        <w:rPr>
          <w:rFonts w:ascii="Times New Roman" w:hAnsi="Times New Roman"/>
          <w:color w:val="000000"/>
        </w:rPr>
        <w:t xml:space="preserve">Marylou Sudders, </w:t>
      </w:r>
      <w:r w:rsidRPr="000613D9">
        <w:rPr>
          <w:rFonts w:ascii="Times New Roman" w:hAnsi="Times New Roman"/>
          <w:i/>
          <w:iCs/>
          <w:color w:val="000000"/>
        </w:rPr>
        <w:t xml:space="preserve">Commitment Law Won't Help Mentally Ill, </w:t>
      </w:r>
      <w:r w:rsidR="00C96BF8" w:rsidRPr="00C96BF8">
        <w:rPr>
          <w:rFonts w:ascii="Times New Roman" w:hAnsi="Times New Roman"/>
          <w:smallCaps/>
          <w:color w:val="000000"/>
        </w:rPr>
        <w:t xml:space="preserve">The </w:t>
      </w:r>
      <w:r w:rsidRPr="00C96BF8">
        <w:rPr>
          <w:rFonts w:ascii="Times New Roman" w:hAnsi="Times New Roman"/>
          <w:smallCaps/>
          <w:color w:val="000000"/>
        </w:rPr>
        <w:t>Boston Globe</w:t>
      </w:r>
      <w:r w:rsidRPr="000613D9">
        <w:rPr>
          <w:rFonts w:ascii="Times New Roman" w:hAnsi="Times New Roman"/>
          <w:color w:val="000000"/>
        </w:rPr>
        <w:t>, June 12, 2002, at A23. ("Although Massachusetts does not have an outpatient commitment law, more than 4,500</w:t>
      </w:r>
      <w:r w:rsidRPr="000613D9">
        <w:rPr>
          <w:rFonts w:ascii="Times New Roman" w:hAnsi="Times New Roman"/>
          <w:i/>
          <w:iCs/>
          <w:color w:val="000000"/>
        </w:rPr>
        <w:t xml:space="preserve"> </w:t>
      </w:r>
      <w:r w:rsidRPr="000613D9">
        <w:rPr>
          <w:rFonts w:ascii="Times New Roman" w:hAnsi="Times New Roman"/>
          <w:color w:val="000000"/>
        </w:rPr>
        <w:t xml:space="preserve">people in the Commonwealth take their psychiatric medications under court orders. Known as Rogers guardianships, these orders specify which medications are prescribed and how often they are taken.") </w:t>
      </w:r>
    </w:p>
  </w:footnote>
  <w:footnote w:id="35">
    <w:p w14:paraId="70BD5441" w14:textId="1AD86238"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490EF8">
        <w:rPr>
          <w:color w:val="000000"/>
          <w:sz w:val="22"/>
          <w:szCs w:val="22"/>
        </w:rPr>
        <w:t>RAND Report</w:t>
      </w:r>
      <w:r w:rsidRPr="000613D9">
        <w:rPr>
          <w:i/>
          <w:iCs/>
          <w:color w:val="000000"/>
          <w:sz w:val="22"/>
          <w:szCs w:val="22"/>
        </w:rPr>
        <w:t>, supra</w:t>
      </w:r>
      <w:r w:rsidR="00490EF8">
        <w:rPr>
          <w:color w:val="000000"/>
          <w:sz w:val="22"/>
          <w:szCs w:val="22"/>
        </w:rPr>
        <w:t xml:space="preserve"> note 2,</w:t>
      </w:r>
      <w:r w:rsidRPr="000613D9">
        <w:rPr>
          <w:i/>
          <w:iCs/>
          <w:color w:val="000000"/>
          <w:sz w:val="22"/>
          <w:szCs w:val="22"/>
        </w:rPr>
        <w:t xml:space="preserve"> </w:t>
      </w:r>
      <w:r w:rsidRPr="000613D9">
        <w:rPr>
          <w:color w:val="000000"/>
          <w:sz w:val="22"/>
          <w:szCs w:val="22"/>
        </w:rPr>
        <w:t>at 69.</w:t>
      </w:r>
    </w:p>
  </w:footnote>
  <w:footnote w:id="36">
    <w:p w14:paraId="2A56487C" w14:textId="77777777"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color w:val="000000"/>
          <w:sz w:val="22"/>
          <w:szCs w:val="22"/>
        </w:rPr>
        <w:t>Id.</w:t>
      </w:r>
    </w:p>
  </w:footnote>
  <w:footnote w:id="37">
    <w:p w14:paraId="4B279516" w14:textId="77777777"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color w:val="000000"/>
          <w:sz w:val="22"/>
          <w:szCs w:val="22"/>
        </w:rPr>
        <w:t xml:space="preserve">Id. </w:t>
      </w:r>
      <w:r w:rsidRPr="000613D9">
        <w:rPr>
          <w:color w:val="000000"/>
          <w:sz w:val="22"/>
          <w:szCs w:val="22"/>
        </w:rPr>
        <w:t>at 70.</w:t>
      </w:r>
    </w:p>
  </w:footnote>
  <w:footnote w:id="38">
    <w:p w14:paraId="72468A9E" w14:textId="5391AF4C" w:rsidR="008B4344"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See, e.g.,</w:t>
      </w:r>
      <w:r w:rsidRPr="000613D9">
        <w:rPr>
          <w:sz w:val="22"/>
          <w:szCs w:val="22"/>
        </w:rPr>
        <w:t xml:space="preserve"> DMH, Enhanced Outpatient Treatment Pilot Fiscal Year 202</w:t>
      </w:r>
      <w:r w:rsidR="004009E8">
        <w:rPr>
          <w:sz w:val="22"/>
          <w:szCs w:val="22"/>
        </w:rPr>
        <w:t>2 (Oct. 2022)</w:t>
      </w:r>
      <w:r w:rsidRPr="000613D9">
        <w:rPr>
          <w:sz w:val="22"/>
          <w:szCs w:val="22"/>
        </w:rPr>
        <w:t xml:space="preserve">, </w:t>
      </w:r>
      <w:hyperlink r:id="rId3" w:history="1">
        <w:r w:rsidR="008B4344" w:rsidRPr="00503BCC">
          <w:rPr>
            <w:rStyle w:val="Hyperlink"/>
          </w:rPr>
          <w:t>https://www.mass.gov/doc/enhanced-outpatient-treatment-pilot-legislative-report-fiscal-year-2022/download</w:t>
        </w:r>
      </w:hyperlink>
      <w:r w:rsidR="008B4344">
        <w:t>.</w:t>
      </w:r>
    </w:p>
  </w:footnote>
  <w:footnote w:id="39">
    <w:p w14:paraId="3E12AEBB" w14:textId="4A38712A"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Compare</w:t>
      </w:r>
      <w:r w:rsidRPr="000613D9">
        <w:rPr>
          <w:sz w:val="22"/>
          <w:szCs w:val="22"/>
        </w:rPr>
        <w:t xml:space="preserve"> </w:t>
      </w:r>
      <w:r w:rsidRPr="000613D9">
        <w:rPr>
          <w:iCs/>
          <w:color w:val="141414"/>
          <w:sz w:val="22"/>
          <w:szCs w:val="22"/>
        </w:rPr>
        <w:t>Trial Court Awarded Two Federal Grants to Expand Court-Based Mental Health and Substance Use Disorder Services for Specialty Courts in Boston and Springfield</w:t>
      </w:r>
      <w:r w:rsidRPr="000613D9">
        <w:rPr>
          <w:color w:val="141414"/>
          <w:sz w:val="22"/>
          <w:szCs w:val="22"/>
        </w:rPr>
        <w:t xml:space="preserve">, </w:t>
      </w:r>
      <w:r w:rsidRPr="000613D9">
        <w:rPr>
          <w:smallCaps/>
          <w:color w:val="141414"/>
          <w:sz w:val="22"/>
          <w:szCs w:val="22"/>
        </w:rPr>
        <w:t>Mass.gov</w:t>
      </w:r>
      <w:r w:rsidRPr="000613D9">
        <w:rPr>
          <w:color w:val="141414"/>
          <w:sz w:val="22"/>
          <w:szCs w:val="22"/>
        </w:rPr>
        <w:t xml:space="preserve"> (July 28, 2020), </w:t>
      </w:r>
      <w:hyperlink r:id="rId4" w:history="1">
        <w:r w:rsidR="00726793" w:rsidRPr="00503BCC">
          <w:rPr>
            <w:rStyle w:val="Hyperlink"/>
          </w:rPr>
          <w:t>https://www.mass.gov/news/trial-court-awarded-two-federal-grants-to-expand-court-based-mental-health-and-substance-use-disorder-services-for-specialty-courts-in-boston-and-springfield</w:t>
        </w:r>
      </w:hyperlink>
      <w:r w:rsidR="00726793">
        <w:t xml:space="preserve"> </w:t>
      </w:r>
      <w:r w:rsidRPr="000613D9">
        <w:rPr>
          <w:sz w:val="22"/>
          <w:szCs w:val="22"/>
        </w:rPr>
        <w:t>(“</w:t>
      </w:r>
      <w:r w:rsidRPr="000613D9">
        <w:rPr>
          <w:color w:val="141414"/>
          <w:sz w:val="22"/>
          <w:szCs w:val="22"/>
        </w:rPr>
        <w:t>The [Boston Municipal Court] partnership with Boston Medical Center breaks new ground in providing the first demonstration of Assisted Outpatient Treatment in Massachusetts.</w:t>
      </w:r>
      <w:r w:rsidRPr="000613D9">
        <w:rPr>
          <w:sz w:val="22"/>
          <w:szCs w:val="22"/>
        </w:rPr>
        <w:t xml:space="preserve">”) </w:t>
      </w:r>
      <w:r w:rsidRPr="000613D9">
        <w:rPr>
          <w:i/>
          <w:iCs/>
          <w:sz w:val="22"/>
          <w:szCs w:val="22"/>
        </w:rPr>
        <w:t>with</w:t>
      </w:r>
      <w:r w:rsidRPr="000613D9">
        <w:rPr>
          <w:b/>
          <w:sz w:val="22"/>
          <w:szCs w:val="22"/>
        </w:rPr>
        <w:t xml:space="preserve"> </w:t>
      </w:r>
      <w:r w:rsidRPr="000613D9">
        <w:rPr>
          <w:smallCaps/>
          <w:sz w:val="22"/>
          <w:szCs w:val="22"/>
        </w:rPr>
        <w:t>Mass. Admin. Office of the Trial Court</w:t>
      </w:r>
      <w:r w:rsidRPr="000613D9">
        <w:rPr>
          <w:sz w:val="22"/>
          <w:szCs w:val="22"/>
        </w:rPr>
        <w:t>, Abstract for SAMHSA Funding Opportunity Announcement No. SM-20-006, at 1 (Jan. 10, 2020) (unpublished abstract) (on file with DLC) (BOAT’s “</w:t>
      </w:r>
      <w:r w:rsidRPr="000613D9">
        <w:rPr>
          <w:bCs/>
          <w:sz w:val="22"/>
          <w:szCs w:val="22"/>
        </w:rPr>
        <w:t>population of focus is individuals who have come to the attention of the Mental Health Diversion Initiative (MHDI) of the Boston Municipal Court.</w:t>
      </w:r>
      <w:r w:rsidRPr="000613D9">
        <w:rPr>
          <w:sz w:val="22"/>
          <w:szCs w:val="22"/>
        </w:rPr>
        <w:t>”)</w:t>
      </w:r>
      <w:r w:rsidRPr="000613D9">
        <w:rPr>
          <w:sz w:val="22"/>
          <w:szCs w:val="22"/>
          <w:vertAlign w:val="superscript"/>
        </w:rPr>
        <w:t xml:space="preserve"> </w:t>
      </w:r>
    </w:p>
  </w:footnote>
  <w:footnote w:id="40">
    <w:p w14:paraId="6DC6012A" w14:textId="34BD62E0"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Cs/>
          <w:sz w:val="22"/>
          <w:szCs w:val="22"/>
        </w:rPr>
        <w:t>Information Sheet,</w:t>
      </w:r>
      <w:r w:rsidRPr="000613D9">
        <w:rPr>
          <w:sz w:val="22"/>
          <w:szCs w:val="22"/>
        </w:rPr>
        <w:t xml:space="preserve"> </w:t>
      </w:r>
      <w:r w:rsidRPr="000613D9">
        <w:rPr>
          <w:smallCaps/>
          <w:sz w:val="22"/>
          <w:szCs w:val="22"/>
        </w:rPr>
        <w:t>Boston Med. Ctr.</w:t>
      </w:r>
      <w:r w:rsidRPr="000613D9">
        <w:rPr>
          <w:sz w:val="22"/>
          <w:szCs w:val="22"/>
        </w:rPr>
        <w:t xml:space="preserve">, </w:t>
      </w:r>
      <w:hyperlink r:id="rId5" w:history="1">
        <w:r w:rsidR="006F5C6D" w:rsidRPr="00503BCC">
          <w:rPr>
            <w:rStyle w:val="Hyperlink"/>
          </w:rPr>
          <w:t>https://view.officeapps.live.com/op/view.aspx?src=https%3A%2F%2Fwww.bmc.org%2Fsites%2Fdefault%2Ffiles%2FPatient_Care%2FSpecialty_Care%2FPsych%2FBOAT%2FInformation_Sheet_BOAT.docx&amp;wdOrigin=BROWSELINK</w:t>
        </w:r>
      </w:hyperlink>
      <w:r w:rsidRPr="000613D9">
        <w:rPr>
          <w:sz w:val="22"/>
          <w:szCs w:val="22"/>
        </w:rPr>
        <w:t>.</w:t>
      </w:r>
    </w:p>
  </w:footnote>
  <w:footnote w:id="41">
    <w:p w14:paraId="6027A22A" w14:textId="634A9B63"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color w:val="000000"/>
          <w:sz w:val="22"/>
          <w:szCs w:val="22"/>
        </w:rPr>
        <w:t xml:space="preserve">Kathryn A. Worthington, </w:t>
      </w:r>
      <w:r w:rsidRPr="000613D9">
        <w:rPr>
          <w:i/>
          <w:iCs/>
          <w:color w:val="000000"/>
          <w:sz w:val="22"/>
          <w:szCs w:val="22"/>
        </w:rPr>
        <w:t xml:space="preserve">Kendra's Law and the Rights of the Mentally Ill: An Empirical Peek Behind the Courts' Legal Analysis and a Suggested Template for the New York State Legislature's Reconsideration for Renewal in 2010, </w:t>
      </w:r>
      <w:r w:rsidRPr="000613D9">
        <w:rPr>
          <w:color w:val="000000"/>
          <w:sz w:val="22"/>
          <w:szCs w:val="22"/>
        </w:rPr>
        <w:t xml:space="preserve">19 </w:t>
      </w:r>
      <w:r w:rsidRPr="006F5C6D">
        <w:rPr>
          <w:smallCaps/>
          <w:color w:val="000000"/>
          <w:sz w:val="22"/>
          <w:szCs w:val="22"/>
        </w:rPr>
        <w:t>Cornell J.</w:t>
      </w:r>
      <w:r w:rsidR="006F5C6D" w:rsidRPr="006F5C6D">
        <w:rPr>
          <w:smallCaps/>
          <w:color w:val="000000"/>
          <w:sz w:val="22"/>
          <w:szCs w:val="22"/>
        </w:rPr>
        <w:t xml:space="preserve"> </w:t>
      </w:r>
      <w:r w:rsidRPr="006F5C6D">
        <w:rPr>
          <w:smallCaps/>
          <w:color w:val="000000"/>
          <w:sz w:val="22"/>
          <w:szCs w:val="22"/>
        </w:rPr>
        <w:t>L</w:t>
      </w:r>
      <w:r w:rsidR="006F5C6D" w:rsidRPr="006F5C6D">
        <w:rPr>
          <w:smallCaps/>
          <w:color w:val="000000"/>
          <w:sz w:val="22"/>
          <w:szCs w:val="22"/>
        </w:rPr>
        <w:t>aw</w:t>
      </w:r>
      <w:r w:rsidRPr="006F5C6D">
        <w:rPr>
          <w:smallCaps/>
          <w:color w:val="000000"/>
          <w:sz w:val="22"/>
          <w:szCs w:val="22"/>
        </w:rPr>
        <w:t xml:space="preserve"> &amp; Pub. Pol'y</w:t>
      </w:r>
      <w:r w:rsidRPr="000613D9">
        <w:rPr>
          <w:color w:val="000000"/>
          <w:sz w:val="22"/>
          <w:szCs w:val="22"/>
        </w:rPr>
        <w:t xml:space="preserve"> 213, 221 (2009).</w:t>
      </w:r>
    </w:p>
  </w:footnote>
  <w:footnote w:id="42">
    <w:p w14:paraId="6B85137A" w14:textId="77777777"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Phyllis Solomon, </w:t>
      </w:r>
      <w:r w:rsidRPr="000613D9">
        <w:rPr>
          <w:i/>
          <w:iCs/>
          <w:sz w:val="22"/>
          <w:szCs w:val="22"/>
        </w:rPr>
        <w:t>Forced Mental Health Treatment Will Not Prevent Violent Tragedies</w:t>
      </w:r>
      <w:r w:rsidRPr="000613D9">
        <w:rPr>
          <w:sz w:val="22"/>
          <w:szCs w:val="22"/>
        </w:rPr>
        <w:t xml:space="preserve"> in </w:t>
      </w:r>
      <w:r w:rsidRPr="006F5C6D">
        <w:rPr>
          <w:smallCaps/>
          <w:sz w:val="22"/>
          <w:szCs w:val="22"/>
        </w:rPr>
        <w:t>John L. Jackson, Social Policy and Social Justice</w:t>
      </w:r>
      <w:r w:rsidRPr="000613D9">
        <w:rPr>
          <w:sz w:val="22"/>
          <w:szCs w:val="22"/>
        </w:rPr>
        <w:t xml:space="preserve"> (Univ. of Penn. Press 2017).</w:t>
      </w:r>
    </w:p>
  </w:footnote>
  <w:footnote w:id="43">
    <w:p w14:paraId="6B491093" w14:textId="77777777"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Ari Ne’eman &amp; Morgan C. Shields, </w:t>
      </w:r>
      <w:r w:rsidRPr="000613D9">
        <w:rPr>
          <w:i/>
          <w:sz w:val="22"/>
          <w:szCs w:val="22"/>
        </w:rPr>
        <w:t>Expanding Civil Commitment Laws is Bad Mental Health Policy,</w:t>
      </w:r>
      <w:r w:rsidRPr="000613D9">
        <w:rPr>
          <w:sz w:val="22"/>
          <w:szCs w:val="22"/>
        </w:rPr>
        <w:t xml:space="preserve"> </w:t>
      </w:r>
      <w:r w:rsidRPr="006F5C6D">
        <w:rPr>
          <w:smallCaps/>
          <w:sz w:val="22"/>
          <w:szCs w:val="22"/>
        </w:rPr>
        <w:t>Health Affairs Blog</w:t>
      </w:r>
      <w:r w:rsidRPr="000613D9">
        <w:rPr>
          <w:sz w:val="22"/>
          <w:szCs w:val="22"/>
        </w:rPr>
        <w:t xml:space="preserve"> (April 6, 2018), </w:t>
      </w:r>
      <w:hyperlink r:id="rId6" w:history="1">
        <w:r w:rsidRPr="000613D9">
          <w:rPr>
            <w:rStyle w:val="Hyperlink"/>
            <w:sz w:val="22"/>
            <w:szCs w:val="22"/>
          </w:rPr>
          <w:t>https://www.healthaffairs.org/do/10.1377/forefront.20180329.955541/full/</w:t>
        </w:r>
      </w:hyperlink>
      <w:r w:rsidRPr="000613D9">
        <w:rPr>
          <w:sz w:val="22"/>
          <w:szCs w:val="22"/>
        </w:rPr>
        <w:t xml:space="preserve">. </w:t>
      </w:r>
    </w:p>
  </w:footnote>
  <w:footnote w:id="44">
    <w:p w14:paraId="6D0DCEE9" w14:textId="31041C77"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 xml:space="preserve">See </w:t>
      </w:r>
      <w:r w:rsidRPr="000613D9">
        <w:rPr>
          <w:sz w:val="22"/>
          <w:szCs w:val="22"/>
          <w:shd w:val="clear" w:color="auto" w:fill="FFFFFF"/>
        </w:rPr>
        <w:t xml:space="preserve">Marvin S. Swartz </w:t>
      </w:r>
      <w:r w:rsidRPr="000613D9">
        <w:rPr>
          <w:i/>
          <w:iCs/>
          <w:sz w:val="22"/>
          <w:szCs w:val="22"/>
          <w:shd w:val="clear" w:color="auto" w:fill="FFFFFF"/>
        </w:rPr>
        <w:t>et al</w:t>
      </w:r>
      <w:r w:rsidRPr="000613D9">
        <w:rPr>
          <w:sz w:val="22"/>
          <w:szCs w:val="22"/>
          <w:shd w:val="clear" w:color="auto" w:fill="FFFFFF"/>
        </w:rPr>
        <w:t xml:space="preserve">., </w:t>
      </w:r>
      <w:r w:rsidRPr="000613D9">
        <w:rPr>
          <w:i/>
          <w:iCs/>
          <w:sz w:val="22"/>
          <w:szCs w:val="22"/>
          <w:shd w:val="clear" w:color="auto" w:fill="FFFFFF"/>
        </w:rPr>
        <w:t>Involuntary Outpatient Commitment and the Elusive Pursue of Violence Prevention: A View from the United States</w:t>
      </w:r>
      <w:r w:rsidRPr="000613D9">
        <w:rPr>
          <w:sz w:val="22"/>
          <w:szCs w:val="22"/>
          <w:shd w:val="clear" w:color="auto" w:fill="FFFFFF"/>
        </w:rPr>
        <w:t xml:space="preserve">, 62 </w:t>
      </w:r>
      <w:r w:rsidRPr="006F5C6D">
        <w:rPr>
          <w:smallCaps/>
          <w:sz w:val="22"/>
          <w:szCs w:val="22"/>
          <w:shd w:val="clear" w:color="auto" w:fill="FFFFFF"/>
        </w:rPr>
        <w:t>Can. J. Psychiatry</w:t>
      </w:r>
      <w:r w:rsidRPr="000613D9">
        <w:rPr>
          <w:sz w:val="22"/>
          <w:szCs w:val="22"/>
          <w:shd w:val="clear" w:color="auto" w:fill="FFFFFF"/>
        </w:rPr>
        <w:t xml:space="preserve"> </w:t>
      </w:r>
      <w:r w:rsidR="00F01FE7">
        <w:rPr>
          <w:sz w:val="22"/>
          <w:szCs w:val="22"/>
          <w:shd w:val="clear" w:color="auto" w:fill="FFFFFF"/>
        </w:rPr>
        <w:t>1</w:t>
      </w:r>
      <w:r w:rsidRPr="000613D9">
        <w:rPr>
          <w:sz w:val="22"/>
          <w:szCs w:val="22"/>
          <w:shd w:val="clear" w:color="auto" w:fill="FFFFFF"/>
        </w:rPr>
        <w:t>02 (Feb. 2017) (</w:t>
      </w:r>
      <w:r w:rsidRPr="000613D9">
        <w:rPr>
          <w:sz w:val="22"/>
          <w:szCs w:val="22"/>
        </w:rPr>
        <w:t>“</w:t>
      </w:r>
      <w:r w:rsidRPr="000613D9">
        <w:rPr>
          <w:sz w:val="22"/>
          <w:szCs w:val="22"/>
          <w:shd w:val="clear" w:color="auto" w:fill="FFFFFF"/>
        </w:rPr>
        <w:t>Drawing on public opinion, political advocates of OPC in recent years have ‘sold’ OPC by capitalizing on the publicity surrounding sensational acts of violence by people with mental disorders —explicitly promoting involuntary outpatient treatment as a needed measure to ensure public safety.”)</w:t>
      </w:r>
    </w:p>
  </w:footnote>
  <w:footnote w:id="45">
    <w:p w14:paraId="45C7B60F" w14:textId="23E983B2"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Id</w:t>
      </w:r>
      <w:r w:rsidR="00BC7847">
        <w:rPr>
          <w:sz w:val="22"/>
          <w:szCs w:val="22"/>
        </w:rPr>
        <w:t xml:space="preserve">. </w:t>
      </w:r>
    </w:p>
  </w:footnote>
  <w:footnote w:id="46">
    <w:p w14:paraId="30597BDF" w14:textId="476BE0B4"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Roadmap for Behavioral Health Reform</w:t>
      </w:r>
      <w:r w:rsidRPr="000613D9">
        <w:rPr>
          <w:sz w:val="22"/>
          <w:szCs w:val="22"/>
        </w:rPr>
        <w:t xml:space="preserve">, EOHHS, </w:t>
      </w:r>
      <w:hyperlink r:id="rId7" w:history="1">
        <w:r w:rsidRPr="000613D9">
          <w:rPr>
            <w:rStyle w:val="Hyperlink"/>
            <w:sz w:val="22"/>
            <w:szCs w:val="22"/>
          </w:rPr>
          <w:t>https://www.mass.gov/roadmap-for-behavioral-health-reform</w:t>
        </w:r>
      </w:hyperlink>
      <w:r w:rsidRPr="000613D9">
        <w:rPr>
          <w:sz w:val="22"/>
          <w:szCs w:val="22"/>
        </w:rPr>
        <w:t>.</w:t>
      </w:r>
    </w:p>
  </w:footnote>
  <w:footnote w:id="47">
    <w:p w14:paraId="73F1D487" w14:textId="77777777"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See</w:t>
      </w:r>
      <w:r w:rsidRPr="000613D9">
        <w:rPr>
          <w:sz w:val="22"/>
          <w:szCs w:val="22"/>
        </w:rPr>
        <w:t xml:space="preserve"> “Roadmap for Behavioral Health Reform: Ensuring the right treatment </w:t>
      </w:r>
      <w:r w:rsidRPr="000613D9">
        <w:rPr>
          <w:i/>
          <w:iCs/>
          <w:sz w:val="22"/>
          <w:szCs w:val="22"/>
        </w:rPr>
        <w:t>when</w:t>
      </w:r>
      <w:r w:rsidRPr="000613D9">
        <w:rPr>
          <w:sz w:val="22"/>
          <w:szCs w:val="22"/>
        </w:rPr>
        <w:t xml:space="preserve"> and </w:t>
      </w:r>
      <w:r w:rsidRPr="000613D9">
        <w:rPr>
          <w:i/>
          <w:iCs/>
          <w:sz w:val="22"/>
          <w:szCs w:val="22"/>
        </w:rPr>
        <w:t>where</w:t>
      </w:r>
      <w:r w:rsidRPr="000613D9">
        <w:rPr>
          <w:sz w:val="22"/>
          <w:szCs w:val="22"/>
        </w:rPr>
        <w:t xml:space="preserve"> people need it,” EOHHS, at 10 (Feb. 2021), </w:t>
      </w:r>
      <w:hyperlink r:id="rId8" w:history="1">
        <w:r w:rsidRPr="000613D9">
          <w:rPr>
            <w:rStyle w:val="Hyperlink"/>
            <w:sz w:val="22"/>
            <w:szCs w:val="22"/>
          </w:rPr>
          <w:t>https://archives.lib.state.ma.us/bitstream/handle/2452/846228/on1259693110.pdf?sequence=1&amp;isAllowed=y</w:t>
        </w:r>
      </w:hyperlink>
    </w:p>
  </w:footnote>
  <w:footnote w:id="48">
    <w:p w14:paraId="1F7339ED" w14:textId="77777777" w:rsidR="00BB3335" w:rsidRPr="000613D9" w:rsidRDefault="00BB3335" w:rsidP="00BB3335">
      <w:pPr>
        <w:pStyle w:val="FootnoteText"/>
        <w:rPr>
          <w:sz w:val="22"/>
          <w:szCs w:val="22"/>
        </w:rPr>
      </w:pPr>
      <w:r w:rsidRPr="000613D9">
        <w:rPr>
          <w:rStyle w:val="FootnoteReference"/>
          <w:sz w:val="22"/>
          <w:szCs w:val="22"/>
        </w:rPr>
        <w:footnoteRef/>
      </w:r>
      <w:r w:rsidRPr="000613D9">
        <w:rPr>
          <w:sz w:val="22"/>
          <w:szCs w:val="22"/>
        </w:rPr>
        <w:t xml:space="preserve"> EOHHS, Roadmap for Behavioral Health Reform: FAQs, </w:t>
      </w:r>
      <w:hyperlink r:id="rId9" w:history="1">
        <w:r w:rsidRPr="000613D9">
          <w:rPr>
            <w:rStyle w:val="Hyperlink"/>
            <w:sz w:val="22"/>
            <w:szCs w:val="22"/>
          </w:rPr>
          <w:t>https://www.mass.gov/info-details/roadmap-for-behavioral-health-reform-faqs</w:t>
        </w:r>
      </w:hyperlink>
      <w:r w:rsidRPr="000613D9">
        <w:rPr>
          <w:sz w:val="22"/>
          <w:szCs w:val="22"/>
        </w:rPr>
        <w:t xml:space="preserve">. </w:t>
      </w:r>
    </w:p>
  </w:footnote>
  <w:footnote w:id="49">
    <w:p w14:paraId="2A4D11BA" w14:textId="77777777" w:rsidR="0050062A" w:rsidRPr="000613D9" w:rsidRDefault="0050062A" w:rsidP="0050062A">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color w:val="000000"/>
          <w:sz w:val="22"/>
          <w:szCs w:val="22"/>
        </w:rPr>
        <w:t>Shine v. Vega</w:t>
      </w:r>
      <w:r w:rsidRPr="000613D9">
        <w:rPr>
          <w:color w:val="000000"/>
          <w:sz w:val="22"/>
          <w:szCs w:val="22"/>
        </w:rPr>
        <w:t>,</w:t>
      </w:r>
      <w:r w:rsidRPr="000613D9">
        <w:rPr>
          <w:i/>
          <w:iCs/>
          <w:color w:val="000000"/>
          <w:sz w:val="22"/>
          <w:szCs w:val="22"/>
        </w:rPr>
        <w:t xml:space="preserve"> </w:t>
      </w:r>
      <w:r w:rsidRPr="000613D9">
        <w:rPr>
          <w:color w:val="000000"/>
          <w:sz w:val="22"/>
          <w:szCs w:val="22"/>
        </w:rPr>
        <w:t>429 Mass. 456, 463 (1999)</w:t>
      </w:r>
      <w:r w:rsidRPr="000613D9">
        <w:rPr>
          <w:i/>
          <w:iCs/>
          <w:color w:val="000000"/>
          <w:sz w:val="22"/>
          <w:szCs w:val="22"/>
        </w:rPr>
        <w:t>; see also Norwood Hosp. v. Munoz</w:t>
      </w:r>
      <w:r w:rsidRPr="000613D9">
        <w:rPr>
          <w:color w:val="000000"/>
          <w:sz w:val="22"/>
          <w:szCs w:val="22"/>
        </w:rPr>
        <w:t>,</w:t>
      </w:r>
      <w:r w:rsidRPr="000613D9">
        <w:rPr>
          <w:i/>
          <w:iCs/>
          <w:color w:val="000000"/>
          <w:sz w:val="22"/>
          <w:szCs w:val="22"/>
        </w:rPr>
        <w:t xml:space="preserve"> </w:t>
      </w:r>
      <w:r w:rsidRPr="000613D9">
        <w:rPr>
          <w:color w:val="000000"/>
          <w:sz w:val="22"/>
          <w:szCs w:val="22"/>
        </w:rPr>
        <w:t xml:space="preserve">409 Mass. 116, 121 (1991); </w:t>
      </w:r>
      <w:r w:rsidRPr="000613D9">
        <w:rPr>
          <w:i/>
          <w:iCs/>
          <w:color w:val="000000"/>
          <w:sz w:val="22"/>
          <w:szCs w:val="22"/>
        </w:rPr>
        <w:t>Brophy v. New England Sinai Hosp., Inc.</w:t>
      </w:r>
      <w:r w:rsidRPr="000613D9">
        <w:rPr>
          <w:color w:val="000000"/>
          <w:sz w:val="22"/>
          <w:szCs w:val="22"/>
        </w:rPr>
        <w:t>,</w:t>
      </w:r>
      <w:r w:rsidRPr="000613D9">
        <w:rPr>
          <w:i/>
          <w:iCs/>
          <w:color w:val="000000"/>
          <w:sz w:val="22"/>
          <w:szCs w:val="22"/>
        </w:rPr>
        <w:t xml:space="preserve"> </w:t>
      </w:r>
      <w:r w:rsidRPr="000613D9">
        <w:rPr>
          <w:color w:val="000000"/>
          <w:sz w:val="22"/>
          <w:szCs w:val="22"/>
        </w:rPr>
        <w:t>398 Mass. 417, 430 (1986).</w:t>
      </w:r>
    </w:p>
  </w:footnote>
  <w:footnote w:id="50">
    <w:p w14:paraId="69ADD386" w14:textId="77777777" w:rsidR="0050062A" w:rsidRPr="000613D9" w:rsidRDefault="0050062A" w:rsidP="0050062A">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color w:val="000000"/>
          <w:sz w:val="22"/>
          <w:szCs w:val="22"/>
        </w:rPr>
        <w:t>Shine</w:t>
      </w:r>
      <w:r w:rsidRPr="000613D9">
        <w:rPr>
          <w:color w:val="000000"/>
          <w:sz w:val="22"/>
          <w:szCs w:val="22"/>
        </w:rPr>
        <w:t>,</w:t>
      </w:r>
      <w:r w:rsidRPr="000613D9">
        <w:rPr>
          <w:i/>
          <w:iCs/>
          <w:color w:val="000000"/>
          <w:sz w:val="22"/>
          <w:szCs w:val="22"/>
        </w:rPr>
        <w:t xml:space="preserve"> </w:t>
      </w:r>
      <w:r w:rsidRPr="000613D9">
        <w:rPr>
          <w:color w:val="000000"/>
          <w:sz w:val="22"/>
          <w:szCs w:val="22"/>
        </w:rPr>
        <w:t>429 Mass. at 467.</w:t>
      </w:r>
    </w:p>
  </w:footnote>
  <w:footnote w:id="51">
    <w:p w14:paraId="4C98BC68" w14:textId="36E3985D" w:rsidR="0050062A" w:rsidRPr="000613D9" w:rsidRDefault="0050062A" w:rsidP="0050062A">
      <w:pPr>
        <w:pStyle w:val="FootnoteText"/>
        <w:rPr>
          <w:sz w:val="22"/>
          <w:szCs w:val="22"/>
        </w:rPr>
      </w:pPr>
      <w:r w:rsidRPr="000613D9">
        <w:rPr>
          <w:rStyle w:val="FootnoteReference"/>
          <w:sz w:val="22"/>
          <w:szCs w:val="22"/>
        </w:rPr>
        <w:footnoteRef/>
      </w:r>
      <w:r w:rsidRPr="000613D9">
        <w:rPr>
          <w:i/>
          <w:iCs/>
          <w:color w:val="000000"/>
          <w:sz w:val="22"/>
          <w:szCs w:val="22"/>
        </w:rPr>
        <w:t xml:space="preserve"> Saikewicz</w:t>
      </w:r>
      <w:r w:rsidRPr="000613D9">
        <w:rPr>
          <w:color w:val="000000"/>
          <w:sz w:val="22"/>
          <w:szCs w:val="22"/>
        </w:rPr>
        <w:t>,</w:t>
      </w:r>
      <w:r w:rsidRPr="000613D9">
        <w:rPr>
          <w:i/>
          <w:iCs/>
          <w:color w:val="000000"/>
          <w:sz w:val="22"/>
          <w:szCs w:val="22"/>
        </w:rPr>
        <w:t xml:space="preserve"> </w:t>
      </w:r>
      <w:r w:rsidRPr="000613D9">
        <w:rPr>
          <w:color w:val="000000"/>
          <w:sz w:val="22"/>
          <w:szCs w:val="22"/>
        </w:rPr>
        <w:t xml:space="preserve">373 Mass. </w:t>
      </w:r>
      <w:r w:rsidR="00E20F67" w:rsidRPr="000613D9">
        <w:rPr>
          <w:color w:val="000000"/>
          <w:sz w:val="22"/>
          <w:szCs w:val="22"/>
        </w:rPr>
        <w:t xml:space="preserve">at </w:t>
      </w:r>
      <w:r w:rsidRPr="000613D9">
        <w:rPr>
          <w:color w:val="000000"/>
          <w:sz w:val="22"/>
          <w:szCs w:val="22"/>
        </w:rPr>
        <w:t>745.</w:t>
      </w:r>
    </w:p>
  </w:footnote>
  <w:footnote w:id="52">
    <w:p w14:paraId="1A80BDDF" w14:textId="35D3AB27" w:rsidR="0050062A" w:rsidRPr="000613D9" w:rsidRDefault="0050062A" w:rsidP="0050062A">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color w:val="000000"/>
          <w:sz w:val="22"/>
          <w:szCs w:val="22"/>
        </w:rPr>
        <w:t xml:space="preserve">Guardianship of Roe III, </w:t>
      </w:r>
      <w:r w:rsidRPr="000613D9">
        <w:rPr>
          <w:color w:val="000000"/>
          <w:sz w:val="22"/>
          <w:szCs w:val="22"/>
        </w:rPr>
        <w:t xml:space="preserve">383 Mass. </w:t>
      </w:r>
      <w:r w:rsidR="00CA61E5" w:rsidRPr="000613D9">
        <w:rPr>
          <w:color w:val="000000"/>
          <w:sz w:val="22"/>
          <w:szCs w:val="22"/>
        </w:rPr>
        <w:t>at</w:t>
      </w:r>
      <w:r w:rsidRPr="000613D9">
        <w:rPr>
          <w:color w:val="000000"/>
          <w:sz w:val="22"/>
          <w:szCs w:val="22"/>
        </w:rPr>
        <w:t xml:space="preserve"> 434-435.</w:t>
      </w:r>
    </w:p>
  </w:footnote>
  <w:footnote w:id="53">
    <w:p w14:paraId="5800D08D" w14:textId="65BBA0D0" w:rsidR="0050062A" w:rsidRPr="000613D9" w:rsidRDefault="0050062A" w:rsidP="0050062A">
      <w:pPr>
        <w:pStyle w:val="FootnoteText"/>
        <w:rPr>
          <w:sz w:val="22"/>
          <w:szCs w:val="22"/>
        </w:rPr>
      </w:pPr>
      <w:r w:rsidRPr="000613D9">
        <w:rPr>
          <w:rStyle w:val="FootnoteReference"/>
          <w:sz w:val="22"/>
          <w:szCs w:val="22"/>
        </w:rPr>
        <w:footnoteRef/>
      </w:r>
      <w:r w:rsidRPr="000613D9">
        <w:rPr>
          <w:sz w:val="22"/>
          <w:szCs w:val="22"/>
        </w:rPr>
        <w:t xml:space="preserve"> </w:t>
      </w:r>
      <w:r w:rsidRPr="000613D9">
        <w:rPr>
          <w:color w:val="000000"/>
          <w:sz w:val="22"/>
          <w:szCs w:val="22"/>
        </w:rPr>
        <w:t xml:space="preserve">G.L. c. 190B, §§ 5-101, 5-306A; </w:t>
      </w:r>
      <w:r w:rsidRPr="000613D9">
        <w:rPr>
          <w:i/>
          <w:iCs/>
          <w:color w:val="000000"/>
          <w:sz w:val="22"/>
          <w:szCs w:val="22"/>
        </w:rPr>
        <w:t>Guardianship of Roe III</w:t>
      </w:r>
      <w:r w:rsidRPr="000613D9">
        <w:rPr>
          <w:color w:val="000000"/>
          <w:sz w:val="22"/>
          <w:szCs w:val="22"/>
        </w:rPr>
        <w:t>,</w:t>
      </w:r>
      <w:r w:rsidRPr="000613D9">
        <w:rPr>
          <w:i/>
          <w:iCs/>
          <w:color w:val="000000"/>
          <w:sz w:val="22"/>
          <w:szCs w:val="22"/>
        </w:rPr>
        <w:t xml:space="preserve"> </w:t>
      </w:r>
      <w:r w:rsidRPr="000613D9">
        <w:rPr>
          <w:color w:val="000000"/>
          <w:sz w:val="22"/>
          <w:szCs w:val="22"/>
        </w:rPr>
        <w:t xml:space="preserve">383 Mass. at 442; </w:t>
      </w:r>
      <w:r w:rsidRPr="000613D9">
        <w:rPr>
          <w:i/>
          <w:iCs/>
          <w:color w:val="000000"/>
          <w:sz w:val="22"/>
          <w:szCs w:val="22"/>
        </w:rPr>
        <w:t>Rogers</w:t>
      </w:r>
      <w:r w:rsidR="00E20F67" w:rsidRPr="000613D9">
        <w:rPr>
          <w:i/>
          <w:iCs/>
          <w:color w:val="000000"/>
          <w:sz w:val="22"/>
          <w:szCs w:val="22"/>
        </w:rPr>
        <w:t xml:space="preserve">, </w:t>
      </w:r>
      <w:r w:rsidRPr="000613D9">
        <w:rPr>
          <w:color w:val="000000"/>
          <w:sz w:val="22"/>
          <w:szCs w:val="22"/>
        </w:rPr>
        <w:t xml:space="preserve">390 Mass. </w:t>
      </w:r>
      <w:r w:rsidR="00E20F67" w:rsidRPr="000613D9">
        <w:rPr>
          <w:color w:val="000000"/>
          <w:sz w:val="22"/>
          <w:szCs w:val="22"/>
        </w:rPr>
        <w:t>at</w:t>
      </w:r>
      <w:r w:rsidRPr="000613D9">
        <w:rPr>
          <w:color w:val="000000"/>
          <w:sz w:val="22"/>
          <w:szCs w:val="22"/>
        </w:rPr>
        <w:t xml:space="preserve"> 49</w:t>
      </w:r>
      <w:r w:rsidR="00E20F67" w:rsidRPr="000613D9">
        <w:rPr>
          <w:color w:val="000000"/>
          <w:sz w:val="22"/>
          <w:szCs w:val="22"/>
        </w:rPr>
        <w:t>1</w:t>
      </w:r>
      <w:r w:rsidRPr="000613D9">
        <w:rPr>
          <w:color w:val="000000"/>
          <w:sz w:val="22"/>
          <w:szCs w:val="22"/>
        </w:rPr>
        <w:t>.</w:t>
      </w:r>
    </w:p>
  </w:footnote>
  <w:footnote w:id="54">
    <w:p w14:paraId="324DA86F" w14:textId="76294BFE" w:rsidR="0050062A" w:rsidRPr="000613D9" w:rsidRDefault="0050062A" w:rsidP="0050062A">
      <w:pPr>
        <w:pStyle w:val="FootnoteText"/>
        <w:rPr>
          <w:sz w:val="22"/>
          <w:szCs w:val="22"/>
        </w:rPr>
      </w:pPr>
      <w:r w:rsidRPr="000613D9">
        <w:rPr>
          <w:rStyle w:val="FootnoteReference"/>
          <w:sz w:val="22"/>
          <w:szCs w:val="22"/>
        </w:rPr>
        <w:footnoteRef/>
      </w:r>
      <w:r w:rsidRPr="000613D9">
        <w:rPr>
          <w:sz w:val="22"/>
          <w:szCs w:val="22"/>
        </w:rPr>
        <w:t xml:space="preserve"> </w:t>
      </w:r>
      <w:r w:rsidRPr="000613D9">
        <w:rPr>
          <w:color w:val="000000"/>
          <w:sz w:val="22"/>
          <w:szCs w:val="22"/>
        </w:rPr>
        <w:t xml:space="preserve">G.L. c. 123, § 8B; </w:t>
      </w:r>
      <w:r w:rsidRPr="000613D9">
        <w:rPr>
          <w:i/>
          <w:iCs/>
          <w:color w:val="000000"/>
          <w:sz w:val="22"/>
          <w:szCs w:val="22"/>
        </w:rPr>
        <w:t>Guardianship of Roe III</w:t>
      </w:r>
      <w:r w:rsidRPr="000613D9">
        <w:rPr>
          <w:color w:val="000000"/>
          <w:sz w:val="22"/>
          <w:szCs w:val="22"/>
        </w:rPr>
        <w:t>,</w:t>
      </w:r>
      <w:r w:rsidRPr="000613D9">
        <w:rPr>
          <w:i/>
          <w:iCs/>
          <w:color w:val="000000"/>
          <w:sz w:val="22"/>
          <w:szCs w:val="22"/>
        </w:rPr>
        <w:t xml:space="preserve"> </w:t>
      </w:r>
      <w:r w:rsidRPr="000613D9">
        <w:rPr>
          <w:color w:val="000000"/>
          <w:sz w:val="22"/>
          <w:szCs w:val="22"/>
        </w:rPr>
        <w:t xml:space="preserve">383 Mass. </w:t>
      </w:r>
      <w:r w:rsidR="0018355D" w:rsidRPr="000613D9">
        <w:rPr>
          <w:color w:val="000000"/>
          <w:sz w:val="22"/>
          <w:szCs w:val="22"/>
        </w:rPr>
        <w:t xml:space="preserve">at 442, </w:t>
      </w:r>
      <w:r w:rsidRPr="000613D9">
        <w:rPr>
          <w:color w:val="000000"/>
          <w:sz w:val="22"/>
          <w:szCs w:val="22"/>
        </w:rPr>
        <w:t xml:space="preserve">n.15; </w:t>
      </w:r>
      <w:r w:rsidRPr="000613D9">
        <w:rPr>
          <w:i/>
          <w:iCs/>
          <w:color w:val="000000"/>
          <w:sz w:val="22"/>
          <w:szCs w:val="22"/>
        </w:rPr>
        <w:t xml:space="preserve">Rogers, </w:t>
      </w:r>
      <w:r w:rsidRPr="000613D9">
        <w:rPr>
          <w:color w:val="000000"/>
          <w:sz w:val="22"/>
          <w:szCs w:val="22"/>
        </w:rPr>
        <w:t>390 Mass. at 491.</w:t>
      </w:r>
    </w:p>
  </w:footnote>
  <w:footnote w:id="55">
    <w:p w14:paraId="684383C9" w14:textId="77777777" w:rsidR="0050062A" w:rsidRPr="000613D9" w:rsidRDefault="0050062A" w:rsidP="0050062A">
      <w:pPr>
        <w:pStyle w:val="NoSpacing"/>
        <w:rPr>
          <w:rFonts w:ascii="Times New Roman" w:hAnsi="Times New Roman"/>
        </w:rPr>
      </w:pPr>
      <w:r w:rsidRPr="000613D9">
        <w:rPr>
          <w:rStyle w:val="FootnoteReference"/>
        </w:rPr>
        <w:footnoteRef/>
      </w:r>
      <w:r w:rsidRPr="000613D9">
        <w:t xml:space="preserve"> </w:t>
      </w:r>
      <w:r w:rsidRPr="000613D9">
        <w:rPr>
          <w:rFonts w:ascii="Times New Roman" w:hAnsi="Times New Roman"/>
          <w:i/>
          <w:iCs/>
        </w:rPr>
        <w:t>Guardianship of Roe III</w:t>
      </w:r>
      <w:r w:rsidRPr="000613D9">
        <w:rPr>
          <w:rFonts w:ascii="Times New Roman" w:hAnsi="Times New Roman"/>
        </w:rPr>
        <w:t>, 383 Mass. at 435.</w:t>
      </w:r>
    </w:p>
  </w:footnote>
  <w:footnote w:id="56">
    <w:p w14:paraId="0123B195" w14:textId="3F9E3939" w:rsidR="0050062A" w:rsidRPr="000613D9" w:rsidRDefault="0050062A" w:rsidP="0050062A">
      <w:pPr>
        <w:pStyle w:val="NoSpacing"/>
        <w:rPr>
          <w:rFonts w:ascii="Times New Roman" w:hAnsi="Times New Roman"/>
        </w:rPr>
      </w:pPr>
      <w:r w:rsidRPr="000613D9">
        <w:rPr>
          <w:rStyle w:val="FootnoteReference"/>
          <w:rFonts w:ascii="Times New Roman" w:hAnsi="Times New Roman"/>
        </w:rPr>
        <w:footnoteRef/>
      </w:r>
      <w:r w:rsidRPr="000613D9">
        <w:rPr>
          <w:rFonts w:ascii="Times New Roman" w:hAnsi="Times New Roman"/>
        </w:rPr>
        <w:t xml:space="preserve"> 390 Mass. at 505.</w:t>
      </w:r>
    </w:p>
  </w:footnote>
  <w:footnote w:id="57">
    <w:p w14:paraId="51604265" w14:textId="77777777" w:rsidR="0050062A" w:rsidRPr="000613D9" w:rsidRDefault="0050062A" w:rsidP="0050062A">
      <w:pPr>
        <w:pStyle w:val="NoSpacing"/>
        <w:rPr>
          <w:rFonts w:ascii="Times New Roman" w:hAnsi="Times New Roman"/>
        </w:rPr>
      </w:pPr>
      <w:r w:rsidRPr="000613D9">
        <w:rPr>
          <w:rStyle w:val="FootnoteReference"/>
          <w:rFonts w:ascii="Times New Roman" w:hAnsi="Times New Roman"/>
        </w:rPr>
        <w:footnoteRef/>
      </w:r>
      <w:r w:rsidRPr="000613D9">
        <w:rPr>
          <w:rFonts w:ascii="Times New Roman" w:hAnsi="Times New Roman"/>
        </w:rPr>
        <w:t xml:space="preserve"> G.L. c. 123 §§ 7, 8, and 12.</w:t>
      </w:r>
    </w:p>
  </w:footnote>
  <w:footnote w:id="58">
    <w:p w14:paraId="74E00F68" w14:textId="161C867F" w:rsidR="0050062A" w:rsidRPr="000613D9" w:rsidRDefault="0050062A" w:rsidP="0050062A">
      <w:pPr>
        <w:pStyle w:val="NoSpacing"/>
      </w:pPr>
      <w:r w:rsidRPr="000613D9">
        <w:rPr>
          <w:rStyle w:val="FootnoteReference"/>
          <w:rFonts w:ascii="Times New Roman" w:hAnsi="Times New Roman"/>
        </w:rPr>
        <w:footnoteRef/>
      </w:r>
      <w:r w:rsidRPr="000613D9">
        <w:rPr>
          <w:rFonts w:ascii="Times New Roman" w:hAnsi="Times New Roman"/>
        </w:rPr>
        <w:t xml:space="preserve"> </w:t>
      </w:r>
      <w:r w:rsidRPr="000613D9">
        <w:rPr>
          <w:rFonts w:ascii="Times New Roman" w:hAnsi="Times New Roman"/>
          <w:i/>
          <w:iCs/>
        </w:rPr>
        <w:t>Humphrey v. Cady</w:t>
      </w:r>
      <w:r w:rsidRPr="000613D9">
        <w:rPr>
          <w:rFonts w:ascii="Times New Roman" w:hAnsi="Times New Roman"/>
        </w:rPr>
        <w:t xml:space="preserve">, 405 U.S. 504, 509 (1972); </w:t>
      </w:r>
      <w:r w:rsidRPr="000613D9">
        <w:rPr>
          <w:rFonts w:ascii="Times New Roman" w:eastAsia="Times New Roman" w:hAnsi="Times New Roman"/>
          <w:i/>
          <w:iCs/>
          <w:color w:val="3D3D3D"/>
          <w:bdr w:val="none" w:sz="0" w:space="0" w:color="auto" w:frame="1"/>
          <w:lang w:eastAsia="zh-CN"/>
        </w:rPr>
        <w:t>Garcia</w:t>
      </w:r>
      <w:r w:rsidRPr="000613D9">
        <w:rPr>
          <w:rFonts w:ascii="Times New Roman" w:eastAsia="Times New Roman" w:hAnsi="Times New Roman"/>
          <w:i/>
          <w:iCs/>
          <w:lang w:eastAsia="zh-CN"/>
        </w:rPr>
        <w:t xml:space="preserve"> v. </w:t>
      </w:r>
      <w:r w:rsidRPr="000613D9">
        <w:rPr>
          <w:rFonts w:ascii="Times New Roman" w:eastAsia="Times New Roman" w:hAnsi="Times New Roman"/>
          <w:i/>
          <w:iCs/>
          <w:color w:val="3D3D3D"/>
          <w:bdr w:val="none" w:sz="0" w:space="0" w:color="auto" w:frame="1"/>
          <w:lang w:eastAsia="zh-CN"/>
        </w:rPr>
        <w:t>Commonwealth</w:t>
      </w:r>
      <w:r w:rsidRPr="000613D9">
        <w:rPr>
          <w:rFonts w:ascii="Times New Roman" w:eastAsia="Times New Roman" w:hAnsi="Times New Roman"/>
          <w:lang w:eastAsia="zh-CN"/>
        </w:rPr>
        <w:t>, 487 Mass. 97, 102–03 (2021)</w:t>
      </w:r>
      <w:r w:rsidR="00C34907">
        <w:rPr>
          <w:rFonts w:ascii="Times New Roman" w:eastAsia="Times New Roman" w:hAnsi="Times New Roman"/>
          <w:lang w:eastAsia="zh-CN"/>
        </w:rPr>
        <w:t xml:space="preserve"> </w:t>
      </w:r>
      <w:r w:rsidRPr="000613D9">
        <w:rPr>
          <w:rFonts w:ascii="Times New Roman" w:hAnsi="Times New Roman"/>
        </w:rPr>
        <w:t>(</w:t>
      </w:r>
      <w:r w:rsidRPr="000613D9">
        <w:rPr>
          <w:rFonts w:ascii="Times New Roman" w:eastAsia="Times New Roman" w:hAnsi="Times New Roman"/>
          <w:lang w:eastAsia="zh-CN"/>
        </w:rPr>
        <w:t>“</w:t>
      </w:r>
      <w:r w:rsidR="00F25427">
        <w:rPr>
          <w:rFonts w:ascii="Times New Roman" w:eastAsia="Times New Roman" w:hAnsi="Times New Roman"/>
          <w:lang w:eastAsia="zh-CN"/>
        </w:rPr>
        <w:t>’</w:t>
      </w:r>
      <w:r w:rsidRPr="000613D9">
        <w:rPr>
          <w:rFonts w:ascii="Times New Roman" w:eastAsia="Times New Roman" w:hAnsi="Times New Roman"/>
          <w:lang w:eastAsia="zh-CN"/>
        </w:rPr>
        <w:t>The right of an individual to be free from physical restraint is a paradigmatic fundamental right</w:t>
      </w:r>
      <w:r w:rsidR="00F25427">
        <w:rPr>
          <w:rFonts w:ascii="Times New Roman" w:eastAsia="Times New Roman" w:hAnsi="Times New Roman"/>
          <w:lang w:eastAsia="zh-CN"/>
        </w:rPr>
        <w:t>’ …</w:t>
      </w:r>
      <w:r w:rsidRPr="000613D9">
        <w:rPr>
          <w:rFonts w:ascii="Times New Roman" w:eastAsia="Times New Roman" w:hAnsi="Times New Roman"/>
          <w:lang w:eastAsia="zh-CN"/>
        </w:rPr>
        <w:t xml:space="preserve"> </w:t>
      </w:r>
      <w:r w:rsidRPr="000613D9">
        <w:rPr>
          <w:rFonts w:ascii="Times New Roman" w:eastAsia="Times New Roman" w:hAnsi="Times New Roman"/>
          <w:bdr w:val="none" w:sz="0" w:space="0" w:color="auto" w:frame="1"/>
          <w:shd w:val="clear" w:color="auto" w:fill="FFFFFF"/>
          <w:lang w:eastAsia="zh-CN"/>
        </w:rPr>
        <w:t xml:space="preserve"> </w:t>
      </w:r>
      <w:r w:rsidRPr="000613D9">
        <w:rPr>
          <w:rFonts w:ascii="Times New Roman" w:eastAsia="Times New Roman" w:hAnsi="Times New Roman"/>
          <w:lang w:eastAsia="zh-CN"/>
        </w:rPr>
        <w:t>We have previously described a temporary hospitalization as short as three days under G. L. c. 123, § 12, as a ‘</w:t>
      </w:r>
      <w:r w:rsidRPr="000613D9">
        <w:rPr>
          <w:rFonts w:ascii="Times New Roman" w:eastAsia="Times New Roman" w:hAnsi="Times New Roman"/>
          <w:bdr w:val="none" w:sz="0" w:space="0" w:color="auto" w:frame="1"/>
          <w:shd w:val="clear" w:color="auto" w:fill="FFFFFF"/>
          <w:lang w:eastAsia="zh-CN"/>
        </w:rPr>
        <w:t>massive curtailment</w:t>
      </w:r>
      <w:r w:rsidRPr="000613D9">
        <w:rPr>
          <w:rFonts w:ascii="Times New Roman" w:eastAsia="Times New Roman" w:hAnsi="Times New Roman"/>
          <w:lang w:eastAsia="zh-CN"/>
        </w:rPr>
        <w:t xml:space="preserve">’ of </w:t>
      </w:r>
      <w:r w:rsidRPr="000613D9">
        <w:rPr>
          <w:rFonts w:ascii="Times New Roman" w:eastAsia="Times New Roman" w:hAnsi="Times New Roman"/>
          <w:bdr w:val="none" w:sz="0" w:space="0" w:color="auto" w:frame="1"/>
          <w:shd w:val="clear" w:color="auto" w:fill="FFFFFF"/>
          <w:lang w:eastAsia="zh-CN"/>
        </w:rPr>
        <w:t>liberty</w:t>
      </w:r>
      <w:r w:rsidRPr="000613D9">
        <w:rPr>
          <w:rFonts w:ascii="Times New Roman" w:eastAsia="Times New Roman" w:hAnsi="Times New Roman"/>
          <w:lang w:eastAsia="zh-CN"/>
        </w:rPr>
        <w:t xml:space="preserve"> (citation omitted). </w:t>
      </w:r>
      <w:r w:rsidRPr="000613D9">
        <w:rPr>
          <w:rFonts w:ascii="Times New Roman" w:eastAsia="Times New Roman" w:hAnsi="Times New Roman"/>
          <w:i/>
          <w:iCs/>
          <w:bdr w:val="none" w:sz="0" w:space="0" w:color="auto" w:frame="1"/>
          <w:shd w:val="clear" w:color="auto" w:fill="FFFFFF"/>
          <w:lang w:eastAsia="zh-CN"/>
        </w:rPr>
        <w:t>Newton-Wellesley Hosp</w:t>
      </w:r>
      <w:r w:rsidRPr="000613D9">
        <w:rPr>
          <w:rFonts w:ascii="Times New Roman" w:eastAsia="Times New Roman" w:hAnsi="Times New Roman"/>
          <w:i/>
          <w:iCs/>
          <w:lang w:eastAsia="zh-CN"/>
        </w:rPr>
        <w:t xml:space="preserve">. v. </w:t>
      </w:r>
      <w:r w:rsidRPr="000613D9">
        <w:rPr>
          <w:rFonts w:ascii="Times New Roman" w:eastAsia="Times New Roman" w:hAnsi="Times New Roman"/>
          <w:i/>
          <w:iCs/>
          <w:bdr w:val="none" w:sz="0" w:space="0" w:color="auto" w:frame="1"/>
          <w:shd w:val="clear" w:color="auto" w:fill="FFFFFF"/>
          <w:lang w:eastAsia="zh-CN"/>
        </w:rPr>
        <w:t>Magrini</w:t>
      </w:r>
      <w:r w:rsidRPr="000613D9">
        <w:rPr>
          <w:rFonts w:ascii="Times New Roman" w:eastAsia="Times New Roman" w:hAnsi="Times New Roman"/>
          <w:lang w:eastAsia="zh-CN"/>
        </w:rPr>
        <w:t>, 451 Mass. 777, 784, 889 N.E.2d 929 (2008).</w:t>
      </w:r>
      <w:r w:rsidR="00EB7A3F">
        <w:rPr>
          <w:rFonts w:ascii="Times New Roman" w:eastAsia="Times New Roman" w:hAnsi="Times New Roman"/>
          <w:lang w:eastAsia="zh-CN"/>
        </w:rPr>
        <w:t>”).</w:t>
      </w:r>
    </w:p>
  </w:footnote>
  <w:footnote w:id="59">
    <w:p w14:paraId="52BBF19B" w14:textId="77777777" w:rsidR="0050062A" w:rsidRPr="000613D9" w:rsidRDefault="0050062A" w:rsidP="0050062A">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Commonwealth v. Nassar</w:t>
      </w:r>
      <w:r w:rsidRPr="000613D9">
        <w:rPr>
          <w:sz w:val="22"/>
          <w:szCs w:val="22"/>
        </w:rPr>
        <w:t>, 380 Mass. 908, 917 (1980).</w:t>
      </w:r>
    </w:p>
  </w:footnote>
  <w:footnote w:id="60">
    <w:p w14:paraId="0F30A5A6" w14:textId="77777777" w:rsidR="0050062A" w:rsidRPr="000613D9" w:rsidRDefault="0050062A" w:rsidP="0050062A">
      <w:pPr>
        <w:pStyle w:val="FootnoteText"/>
        <w:rPr>
          <w:sz w:val="22"/>
          <w:szCs w:val="22"/>
        </w:rPr>
      </w:pPr>
      <w:r w:rsidRPr="000613D9">
        <w:rPr>
          <w:rStyle w:val="FootnoteReference"/>
          <w:sz w:val="22"/>
          <w:szCs w:val="22"/>
        </w:rPr>
        <w:footnoteRef/>
      </w:r>
      <w:r w:rsidRPr="000613D9">
        <w:rPr>
          <w:sz w:val="22"/>
          <w:szCs w:val="22"/>
        </w:rPr>
        <w:t xml:space="preserve"> </w:t>
      </w:r>
      <w:r w:rsidRPr="000613D9">
        <w:rPr>
          <w:i/>
          <w:iCs/>
          <w:sz w:val="22"/>
          <w:szCs w:val="22"/>
        </w:rPr>
        <w:t>Commonwealth v. Rosenberg</w:t>
      </w:r>
      <w:r w:rsidRPr="000613D9">
        <w:rPr>
          <w:sz w:val="22"/>
          <w:szCs w:val="22"/>
        </w:rPr>
        <w:t xml:space="preserve">, 410 Mass. 347, 360 (1991); </w:t>
      </w:r>
      <w:r w:rsidRPr="000613D9">
        <w:rPr>
          <w:i/>
          <w:iCs/>
          <w:sz w:val="22"/>
          <w:szCs w:val="22"/>
        </w:rPr>
        <w:t>see Williams v. Steward Health Care System,</w:t>
      </w:r>
      <w:r w:rsidRPr="000613D9">
        <w:rPr>
          <w:sz w:val="22"/>
          <w:szCs w:val="22"/>
        </w:rPr>
        <w:t xml:space="preserve"> 480 Mass. 286, 292-293 (2018), quoting </w:t>
      </w:r>
      <w:r w:rsidRPr="000613D9">
        <w:rPr>
          <w:i/>
          <w:iCs/>
          <w:sz w:val="22"/>
          <w:szCs w:val="22"/>
        </w:rPr>
        <w:t>Nassar</w:t>
      </w:r>
      <w:r w:rsidRPr="000613D9">
        <w:rPr>
          <w:sz w:val="22"/>
          <w:szCs w:val="22"/>
        </w:rPr>
        <w:t xml:space="preserve">, 380 Mass. at 917-918; </w:t>
      </w:r>
      <w:r w:rsidRPr="000613D9">
        <w:rPr>
          <w:i/>
          <w:iCs/>
          <w:sz w:val="22"/>
          <w:szCs w:val="22"/>
        </w:rPr>
        <w:t>Matter of E.C</w:t>
      </w:r>
      <w:r w:rsidRPr="000613D9">
        <w:rPr>
          <w:sz w:val="22"/>
          <w:szCs w:val="22"/>
        </w:rPr>
        <w:t>., 479 Mass. 113, 121 (2018).</w:t>
      </w:r>
    </w:p>
  </w:footnote>
  <w:footnote w:id="61">
    <w:p w14:paraId="584F78B7" w14:textId="77777777" w:rsidR="0050062A" w:rsidRPr="000613D9" w:rsidRDefault="0050062A" w:rsidP="0050062A">
      <w:pPr>
        <w:spacing w:after="240"/>
        <w:rPr>
          <w:rFonts w:eastAsia="Calibri"/>
          <w:sz w:val="22"/>
          <w:szCs w:val="22"/>
        </w:rPr>
      </w:pPr>
      <w:r w:rsidRPr="000613D9">
        <w:rPr>
          <w:rStyle w:val="FootnoteReference"/>
          <w:sz w:val="22"/>
          <w:szCs w:val="22"/>
        </w:rPr>
        <w:footnoteRef/>
      </w:r>
      <w:r w:rsidRPr="000613D9">
        <w:rPr>
          <w:sz w:val="22"/>
          <w:szCs w:val="22"/>
        </w:rPr>
        <w:t xml:space="preserve"> </w:t>
      </w:r>
      <w:r w:rsidRPr="000613D9">
        <w:rPr>
          <w:i/>
          <w:iCs/>
          <w:sz w:val="22"/>
          <w:szCs w:val="22"/>
        </w:rPr>
        <w:t>See Matter of a Minor</w:t>
      </w:r>
      <w:r w:rsidRPr="000613D9">
        <w:rPr>
          <w:sz w:val="22"/>
          <w:szCs w:val="22"/>
        </w:rPr>
        <w:t xml:space="preserve">, 484 Mass. 295, 307, 309-310 (2020) (requiring detailed findings regarding the evidence credited in support of a legal conclusion that statutory criteria for a substance abuse commitment order are met.) </w:t>
      </w:r>
    </w:p>
    <w:p w14:paraId="7BD6F325" w14:textId="77777777" w:rsidR="0050062A" w:rsidRPr="000613D9" w:rsidRDefault="0050062A" w:rsidP="0050062A">
      <w:pPr>
        <w:pStyle w:val="FootnoteText"/>
        <w:rPr>
          <w:sz w:val="22"/>
          <w:szCs w:val="2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848AB"/>
    <w:multiLevelType w:val="hybridMultilevel"/>
    <w:tmpl w:val="507635C0"/>
    <w:lvl w:ilvl="0" w:tplc="3CF4D64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75A20A64"/>
    <w:multiLevelType w:val="hybridMultilevel"/>
    <w:tmpl w:val="D5F6C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72676">
    <w:abstractNumId w:val="1"/>
  </w:num>
  <w:num w:numId="2" w16cid:durableId="1235504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287"/>
    <w:rsid w:val="000010B4"/>
    <w:rsid w:val="000030B2"/>
    <w:rsid w:val="000040C8"/>
    <w:rsid w:val="0000680A"/>
    <w:rsid w:val="000116A0"/>
    <w:rsid w:val="00013B62"/>
    <w:rsid w:val="0001480E"/>
    <w:rsid w:val="00014C87"/>
    <w:rsid w:val="00014F5D"/>
    <w:rsid w:val="00015DA4"/>
    <w:rsid w:val="000170D6"/>
    <w:rsid w:val="000222CE"/>
    <w:rsid w:val="000255E4"/>
    <w:rsid w:val="00026850"/>
    <w:rsid w:val="00027009"/>
    <w:rsid w:val="00030BBD"/>
    <w:rsid w:val="000313F0"/>
    <w:rsid w:val="0003492D"/>
    <w:rsid w:val="000362C2"/>
    <w:rsid w:val="00036B26"/>
    <w:rsid w:val="00037F31"/>
    <w:rsid w:val="0004078E"/>
    <w:rsid w:val="00042169"/>
    <w:rsid w:val="00044BB6"/>
    <w:rsid w:val="00054C2A"/>
    <w:rsid w:val="000600E5"/>
    <w:rsid w:val="0006022D"/>
    <w:rsid w:val="000613D9"/>
    <w:rsid w:val="000619F4"/>
    <w:rsid w:val="000636E1"/>
    <w:rsid w:val="00067507"/>
    <w:rsid w:val="00070FD3"/>
    <w:rsid w:val="00072AEB"/>
    <w:rsid w:val="000752F6"/>
    <w:rsid w:val="000756B6"/>
    <w:rsid w:val="00076C99"/>
    <w:rsid w:val="00077C28"/>
    <w:rsid w:val="00077FF0"/>
    <w:rsid w:val="00081FE9"/>
    <w:rsid w:val="0008741B"/>
    <w:rsid w:val="00087561"/>
    <w:rsid w:val="00090396"/>
    <w:rsid w:val="00093FEF"/>
    <w:rsid w:val="000958FC"/>
    <w:rsid w:val="00096525"/>
    <w:rsid w:val="00097811"/>
    <w:rsid w:val="000A0DC2"/>
    <w:rsid w:val="000A13B9"/>
    <w:rsid w:val="000A4AE7"/>
    <w:rsid w:val="000A5CCD"/>
    <w:rsid w:val="000B0ABC"/>
    <w:rsid w:val="000B2DCC"/>
    <w:rsid w:val="000B2E83"/>
    <w:rsid w:val="000B481C"/>
    <w:rsid w:val="000B5455"/>
    <w:rsid w:val="000B7C10"/>
    <w:rsid w:val="000C1BC3"/>
    <w:rsid w:val="000C38AA"/>
    <w:rsid w:val="000C3D74"/>
    <w:rsid w:val="000C58DE"/>
    <w:rsid w:val="000C670F"/>
    <w:rsid w:val="000D0E94"/>
    <w:rsid w:val="000D5E78"/>
    <w:rsid w:val="000D61E2"/>
    <w:rsid w:val="000D7AC9"/>
    <w:rsid w:val="000E2717"/>
    <w:rsid w:val="000E2FB2"/>
    <w:rsid w:val="000E3E12"/>
    <w:rsid w:val="000E4574"/>
    <w:rsid w:val="000E533F"/>
    <w:rsid w:val="000E5348"/>
    <w:rsid w:val="000E718B"/>
    <w:rsid w:val="000E7A94"/>
    <w:rsid w:val="000F1120"/>
    <w:rsid w:val="000F16D8"/>
    <w:rsid w:val="000F56D1"/>
    <w:rsid w:val="00105D91"/>
    <w:rsid w:val="001134B5"/>
    <w:rsid w:val="001157FE"/>
    <w:rsid w:val="00117A96"/>
    <w:rsid w:val="00122078"/>
    <w:rsid w:val="0012320A"/>
    <w:rsid w:val="00123841"/>
    <w:rsid w:val="001268D2"/>
    <w:rsid w:val="00126E61"/>
    <w:rsid w:val="00130847"/>
    <w:rsid w:val="00130FA4"/>
    <w:rsid w:val="00131AEF"/>
    <w:rsid w:val="00132F1D"/>
    <w:rsid w:val="00133526"/>
    <w:rsid w:val="00135874"/>
    <w:rsid w:val="00135DB3"/>
    <w:rsid w:val="001365A7"/>
    <w:rsid w:val="00140276"/>
    <w:rsid w:val="00141677"/>
    <w:rsid w:val="00141846"/>
    <w:rsid w:val="001428E2"/>
    <w:rsid w:val="00145144"/>
    <w:rsid w:val="001469BB"/>
    <w:rsid w:val="0014761D"/>
    <w:rsid w:val="0014785B"/>
    <w:rsid w:val="00150B31"/>
    <w:rsid w:val="00150C9A"/>
    <w:rsid w:val="00153691"/>
    <w:rsid w:val="001611EF"/>
    <w:rsid w:val="0016196B"/>
    <w:rsid w:val="00162FC3"/>
    <w:rsid w:val="001632FD"/>
    <w:rsid w:val="00163B98"/>
    <w:rsid w:val="00165493"/>
    <w:rsid w:val="00166E66"/>
    <w:rsid w:val="0016713F"/>
    <w:rsid w:val="00171861"/>
    <w:rsid w:val="001721EB"/>
    <w:rsid w:val="00174338"/>
    <w:rsid w:val="001751C4"/>
    <w:rsid w:val="0017634D"/>
    <w:rsid w:val="0018157D"/>
    <w:rsid w:val="001830C2"/>
    <w:rsid w:val="0018355D"/>
    <w:rsid w:val="00184C38"/>
    <w:rsid w:val="00185A03"/>
    <w:rsid w:val="00186FEF"/>
    <w:rsid w:val="001922A0"/>
    <w:rsid w:val="0019291B"/>
    <w:rsid w:val="00192AA8"/>
    <w:rsid w:val="00192EDA"/>
    <w:rsid w:val="00192F4C"/>
    <w:rsid w:val="0019464A"/>
    <w:rsid w:val="001961A5"/>
    <w:rsid w:val="00196C55"/>
    <w:rsid w:val="00196E0A"/>
    <w:rsid w:val="00197894"/>
    <w:rsid w:val="001A0F5D"/>
    <w:rsid w:val="001A2A3F"/>
    <w:rsid w:val="001A3075"/>
    <w:rsid w:val="001A4CC0"/>
    <w:rsid w:val="001A705E"/>
    <w:rsid w:val="001A7400"/>
    <w:rsid w:val="001A7C58"/>
    <w:rsid w:val="001B54F6"/>
    <w:rsid w:val="001B6BFD"/>
    <w:rsid w:val="001C3DFC"/>
    <w:rsid w:val="001C4AFB"/>
    <w:rsid w:val="001C68CB"/>
    <w:rsid w:val="001D0313"/>
    <w:rsid w:val="001D0A50"/>
    <w:rsid w:val="001D2BED"/>
    <w:rsid w:val="001D3A69"/>
    <w:rsid w:val="001D4163"/>
    <w:rsid w:val="001D4AFD"/>
    <w:rsid w:val="001D4CB5"/>
    <w:rsid w:val="001D552D"/>
    <w:rsid w:val="001D79F3"/>
    <w:rsid w:val="001E313A"/>
    <w:rsid w:val="001E4F92"/>
    <w:rsid w:val="001E6A0E"/>
    <w:rsid w:val="001F234A"/>
    <w:rsid w:val="001F2BF2"/>
    <w:rsid w:val="001F2C49"/>
    <w:rsid w:val="001F3EEF"/>
    <w:rsid w:val="001F425C"/>
    <w:rsid w:val="001F464E"/>
    <w:rsid w:val="001F6869"/>
    <w:rsid w:val="001F7C0E"/>
    <w:rsid w:val="0020089C"/>
    <w:rsid w:val="00206665"/>
    <w:rsid w:val="00210927"/>
    <w:rsid w:val="00215F77"/>
    <w:rsid w:val="00216B03"/>
    <w:rsid w:val="002171F9"/>
    <w:rsid w:val="00217B2B"/>
    <w:rsid w:val="00220096"/>
    <w:rsid w:val="0022101A"/>
    <w:rsid w:val="002211CC"/>
    <w:rsid w:val="00223AD7"/>
    <w:rsid w:val="00226245"/>
    <w:rsid w:val="002274F4"/>
    <w:rsid w:val="00230546"/>
    <w:rsid w:val="00232380"/>
    <w:rsid w:val="002333A7"/>
    <w:rsid w:val="00233517"/>
    <w:rsid w:val="00236690"/>
    <w:rsid w:val="00236931"/>
    <w:rsid w:val="002429D7"/>
    <w:rsid w:val="00243253"/>
    <w:rsid w:val="002476EB"/>
    <w:rsid w:val="00254D5B"/>
    <w:rsid w:val="00255792"/>
    <w:rsid w:val="002578B0"/>
    <w:rsid w:val="00260662"/>
    <w:rsid w:val="002607F6"/>
    <w:rsid w:val="00261A4F"/>
    <w:rsid w:val="002624A0"/>
    <w:rsid w:val="0026333B"/>
    <w:rsid w:val="00263C26"/>
    <w:rsid w:val="00264509"/>
    <w:rsid w:val="00264876"/>
    <w:rsid w:val="00267017"/>
    <w:rsid w:val="002707EC"/>
    <w:rsid w:val="0027309D"/>
    <w:rsid w:val="00273A50"/>
    <w:rsid w:val="0027418E"/>
    <w:rsid w:val="00274E31"/>
    <w:rsid w:val="002800FA"/>
    <w:rsid w:val="00280B53"/>
    <w:rsid w:val="00283C27"/>
    <w:rsid w:val="00284F91"/>
    <w:rsid w:val="00286996"/>
    <w:rsid w:val="00290C85"/>
    <w:rsid w:val="00290DDE"/>
    <w:rsid w:val="00290E91"/>
    <w:rsid w:val="002928BE"/>
    <w:rsid w:val="002939D1"/>
    <w:rsid w:val="00296BB0"/>
    <w:rsid w:val="00297472"/>
    <w:rsid w:val="00297C93"/>
    <w:rsid w:val="002A29CB"/>
    <w:rsid w:val="002A58E4"/>
    <w:rsid w:val="002A5CAF"/>
    <w:rsid w:val="002B2BB2"/>
    <w:rsid w:val="002B40A4"/>
    <w:rsid w:val="002B6044"/>
    <w:rsid w:val="002B633C"/>
    <w:rsid w:val="002B677F"/>
    <w:rsid w:val="002B7293"/>
    <w:rsid w:val="002B7910"/>
    <w:rsid w:val="002C057B"/>
    <w:rsid w:val="002C090C"/>
    <w:rsid w:val="002C2414"/>
    <w:rsid w:val="002C43B3"/>
    <w:rsid w:val="002C7805"/>
    <w:rsid w:val="002C792C"/>
    <w:rsid w:val="002D4BFC"/>
    <w:rsid w:val="002D4EC6"/>
    <w:rsid w:val="002D502E"/>
    <w:rsid w:val="002E003A"/>
    <w:rsid w:val="002E09B8"/>
    <w:rsid w:val="002E5F68"/>
    <w:rsid w:val="002E69CC"/>
    <w:rsid w:val="002E6BF3"/>
    <w:rsid w:val="002E7B39"/>
    <w:rsid w:val="002F034B"/>
    <w:rsid w:val="002F1497"/>
    <w:rsid w:val="002F2357"/>
    <w:rsid w:val="002F29FB"/>
    <w:rsid w:val="002F4C7C"/>
    <w:rsid w:val="002F5DDE"/>
    <w:rsid w:val="002F5E27"/>
    <w:rsid w:val="002F5F4B"/>
    <w:rsid w:val="002F6942"/>
    <w:rsid w:val="002F6C06"/>
    <w:rsid w:val="00301C72"/>
    <w:rsid w:val="00301D71"/>
    <w:rsid w:val="00305627"/>
    <w:rsid w:val="0030603B"/>
    <w:rsid w:val="00307052"/>
    <w:rsid w:val="00310FCC"/>
    <w:rsid w:val="003114CF"/>
    <w:rsid w:val="00313359"/>
    <w:rsid w:val="003139AB"/>
    <w:rsid w:val="003141A3"/>
    <w:rsid w:val="0031513B"/>
    <w:rsid w:val="00315DEB"/>
    <w:rsid w:val="003163B4"/>
    <w:rsid w:val="00317576"/>
    <w:rsid w:val="0032554F"/>
    <w:rsid w:val="003261CD"/>
    <w:rsid w:val="003272DC"/>
    <w:rsid w:val="00327FD1"/>
    <w:rsid w:val="00330644"/>
    <w:rsid w:val="00333195"/>
    <w:rsid w:val="003345F2"/>
    <w:rsid w:val="00334991"/>
    <w:rsid w:val="00340A47"/>
    <w:rsid w:val="00342957"/>
    <w:rsid w:val="00342AFD"/>
    <w:rsid w:val="00342F5E"/>
    <w:rsid w:val="00343724"/>
    <w:rsid w:val="003443FB"/>
    <w:rsid w:val="00345493"/>
    <w:rsid w:val="00346905"/>
    <w:rsid w:val="00347C64"/>
    <w:rsid w:val="00351871"/>
    <w:rsid w:val="003519D8"/>
    <w:rsid w:val="00353628"/>
    <w:rsid w:val="00353D64"/>
    <w:rsid w:val="00360EA7"/>
    <w:rsid w:val="0036385C"/>
    <w:rsid w:val="003640C8"/>
    <w:rsid w:val="0036479A"/>
    <w:rsid w:val="00370659"/>
    <w:rsid w:val="00372303"/>
    <w:rsid w:val="00382110"/>
    <w:rsid w:val="003822AD"/>
    <w:rsid w:val="00382A13"/>
    <w:rsid w:val="00382AAC"/>
    <w:rsid w:val="00383975"/>
    <w:rsid w:val="003879C0"/>
    <w:rsid w:val="0039025A"/>
    <w:rsid w:val="00392E70"/>
    <w:rsid w:val="00393F2A"/>
    <w:rsid w:val="00396B7B"/>
    <w:rsid w:val="00396FCF"/>
    <w:rsid w:val="003A0202"/>
    <w:rsid w:val="003A1327"/>
    <w:rsid w:val="003A3227"/>
    <w:rsid w:val="003A552D"/>
    <w:rsid w:val="003A5954"/>
    <w:rsid w:val="003A690B"/>
    <w:rsid w:val="003A7A29"/>
    <w:rsid w:val="003A7C8A"/>
    <w:rsid w:val="003B2191"/>
    <w:rsid w:val="003B5978"/>
    <w:rsid w:val="003C019B"/>
    <w:rsid w:val="003C3B53"/>
    <w:rsid w:val="003C3EBC"/>
    <w:rsid w:val="003C3FE3"/>
    <w:rsid w:val="003C798E"/>
    <w:rsid w:val="003D4DC7"/>
    <w:rsid w:val="003D4F7B"/>
    <w:rsid w:val="003D5FCF"/>
    <w:rsid w:val="003D6BF8"/>
    <w:rsid w:val="003D6E9C"/>
    <w:rsid w:val="003E06F4"/>
    <w:rsid w:val="003E0857"/>
    <w:rsid w:val="003E106B"/>
    <w:rsid w:val="003E2B5A"/>
    <w:rsid w:val="003E31BE"/>
    <w:rsid w:val="003E441D"/>
    <w:rsid w:val="003E6670"/>
    <w:rsid w:val="003E703A"/>
    <w:rsid w:val="003E7E75"/>
    <w:rsid w:val="003F07FD"/>
    <w:rsid w:val="003F11B2"/>
    <w:rsid w:val="003F46B1"/>
    <w:rsid w:val="003F7C05"/>
    <w:rsid w:val="004009E8"/>
    <w:rsid w:val="0040123F"/>
    <w:rsid w:val="004016DE"/>
    <w:rsid w:val="00402E99"/>
    <w:rsid w:val="00403B0C"/>
    <w:rsid w:val="00406CE1"/>
    <w:rsid w:val="0041135D"/>
    <w:rsid w:val="00411B4B"/>
    <w:rsid w:val="004130D0"/>
    <w:rsid w:val="004176D4"/>
    <w:rsid w:val="00421B6D"/>
    <w:rsid w:val="0042311E"/>
    <w:rsid w:val="004238F5"/>
    <w:rsid w:val="00423EE8"/>
    <w:rsid w:val="0043074B"/>
    <w:rsid w:val="00431AB2"/>
    <w:rsid w:val="00435BAA"/>
    <w:rsid w:val="0043634A"/>
    <w:rsid w:val="00436BC6"/>
    <w:rsid w:val="00437A8D"/>
    <w:rsid w:val="004404E8"/>
    <w:rsid w:val="00441EF0"/>
    <w:rsid w:val="00442893"/>
    <w:rsid w:val="004430C9"/>
    <w:rsid w:val="00445DD4"/>
    <w:rsid w:val="00446AD3"/>
    <w:rsid w:val="00447727"/>
    <w:rsid w:val="00453E33"/>
    <w:rsid w:val="00456C80"/>
    <w:rsid w:val="00461278"/>
    <w:rsid w:val="00461A7F"/>
    <w:rsid w:val="00464247"/>
    <w:rsid w:val="004645E4"/>
    <w:rsid w:val="00464D37"/>
    <w:rsid w:val="00467131"/>
    <w:rsid w:val="00470268"/>
    <w:rsid w:val="00475470"/>
    <w:rsid w:val="00477AD7"/>
    <w:rsid w:val="0048185B"/>
    <w:rsid w:val="00482D89"/>
    <w:rsid w:val="004830BA"/>
    <w:rsid w:val="004849D8"/>
    <w:rsid w:val="0048768B"/>
    <w:rsid w:val="00487CC2"/>
    <w:rsid w:val="00490EF8"/>
    <w:rsid w:val="00491327"/>
    <w:rsid w:val="00491FDE"/>
    <w:rsid w:val="00493F36"/>
    <w:rsid w:val="00495957"/>
    <w:rsid w:val="004A37DC"/>
    <w:rsid w:val="004A4A24"/>
    <w:rsid w:val="004A564C"/>
    <w:rsid w:val="004A60D0"/>
    <w:rsid w:val="004A6D65"/>
    <w:rsid w:val="004B1EAF"/>
    <w:rsid w:val="004B3C96"/>
    <w:rsid w:val="004B53ED"/>
    <w:rsid w:val="004B5DE6"/>
    <w:rsid w:val="004C0F65"/>
    <w:rsid w:val="004C298E"/>
    <w:rsid w:val="004C31E8"/>
    <w:rsid w:val="004C41DE"/>
    <w:rsid w:val="004C5C3D"/>
    <w:rsid w:val="004C6965"/>
    <w:rsid w:val="004C7754"/>
    <w:rsid w:val="004D04A0"/>
    <w:rsid w:val="004D09EA"/>
    <w:rsid w:val="004D2E40"/>
    <w:rsid w:val="004D2FD1"/>
    <w:rsid w:val="004D3FDB"/>
    <w:rsid w:val="004E3981"/>
    <w:rsid w:val="004F0082"/>
    <w:rsid w:val="004F0B24"/>
    <w:rsid w:val="004F4271"/>
    <w:rsid w:val="004F4FF2"/>
    <w:rsid w:val="004F77DA"/>
    <w:rsid w:val="0050062A"/>
    <w:rsid w:val="005037A5"/>
    <w:rsid w:val="00510EE6"/>
    <w:rsid w:val="00511144"/>
    <w:rsid w:val="005133E5"/>
    <w:rsid w:val="005138D4"/>
    <w:rsid w:val="005147E6"/>
    <w:rsid w:val="0052205B"/>
    <w:rsid w:val="00522C27"/>
    <w:rsid w:val="00523F0C"/>
    <w:rsid w:val="00523FF8"/>
    <w:rsid w:val="00526590"/>
    <w:rsid w:val="00526C14"/>
    <w:rsid w:val="005276D8"/>
    <w:rsid w:val="005276E0"/>
    <w:rsid w:val="00530BB7"/>
    <w:rsid w:val="0053181E"/>
    <w:rsid w:val="00532058"/>
    <w:rsid w:val="00532D84"/>
    <w:rsid w:val="00533D1A"/>
    <w:rsid w:val="00534EA0"/>
    <w:rsid w:val="005351F6"/>
    <w:rsid w:val="00537486"/>
    <w:rsid w:val="00537EB4"/>
    <w:rsid w:val="0054018A"/>
    <w:rsid w:val="00542925"/>
    <w:rsid w:val="00543429"/>
    <w:rsid w:val="00544E70"/>
    <w:rsid w:val="00546EB4"/>
    <w:rsid w:val="005474BF"/>
    <w:rsid w:val="00554525"/>
    <w:rsid w:val="00554844"/>
    <w:rsid w:val="00555AE9"/>
    <w:rsid w:val="005577A1"/>
    <w:rsid w:val="00566BD4"/>
    <w:rsid w:val="00566D7E"/>
    <w:rsid w:val="00566F4B"/>
    <w:rsid w:val="00567B8A"/>
    <w:rsid w:val="005707D6"/>
    <w:rsid w:val="00570C2A"/>
    <w:rsid w:val="00571036"/>
    <w:rsid w:val="00574539"/>
    <w:rsid w:val="00574E77"/>
    <w:rsid w:val="005762C2"/>
    <w:rsid w:val="0057651A"/>
    <w:rsid w:val="0057720A"/>
    <w:rsid w:val="00577719"/>
    <w:rsid w:val="00580145"/>
    <w:rsid w:val="005817A2"/>
    <w:rsid w:val="00583E24"/>
    <w:rsid w:val="0058436E"/>
    <w:rsid w:val="0058504F"/>
    <w:rsid w:val="00585A4F"/>
    <w:rsid w:val="00586326"/>
    <w:rsid w:val="0058770B"/>
    <w:rsid w:val="005879A5"/>
    <w:rsid w:val="005919D3"/>
    <w:rsid w:val="00592BBD"/>
    <w:rsid w:val="00592D6F"/>
    <w:rsid w:val="00596899"/>
    <w:rsid w:val="00597AB3"/>
    <w:rsid w:val="005A0D8A"/>
    <w:rsid w:val="005A22A8"/>
    <w:rsid w:val="005A27D8"/>
    <w:rsid w:val="005A2898"/>
    <w:rsid w:val="005A37D8"/>
    <w:rsid w:val="005A4B88"/>
    <w:rsid w:val="005A565A"/>
    <w:rsid w:val="005A708A"/>
    <w:rsid w:val="005B3864"/>
    <w:rsid w:val="005B5133"/>
    <w:rsid w:val="005B6011"/>
    <w:rsid w:val="005B6FD4"/>
    <w:rsid w:val="005C0C75"/>
    <w:rsid w:val="005C3273"/>
    <w:rsid w:val="005C5E7D"/>
    <w:rsid w:val="005D0252"/>
    <w:rsid w:val="005D3E33"/>
    <w:rsid w:val="005D6B6E"/>
    <w:rsid w:val="005E1403"/>
    <w:rsid w:val="005E2BFF"/>
    <w:rsid w:val="005E4034"/>
    <w:rsid w:val="005E46A6"/>
    <w:rsid w:val="005E7566"/>
    <w:rsid w:val="005F3511"/>
    <w:rsid w:val="005F6348"/>
    <w:rsid w:val="0060077C"/>
    <w:rsid w:val="00603723"/>
    <w:rsid w:val="00606BDE"/>
    <w:rsid w:val="0061196F"/>
    <w:rsid w:val="0061260F"/>
    <w:rsid w:val="00613858"/>
    <w:rsid w:val="006140F7"/>
    <w:rsid w:val="006145AF"/>
    <w:rsid w:val="00614C38"/>
    <w:rsid w:val="00616970"/>
    <w:rsid w:val="00616C7F"/>
    <w:rsid w:val="00622F82"/>
    <w:rsid w:val="00624777"/>
    <w:rsid w:val="00625FF1"/>
    <w:rsid w:val="0063085E"/>
    <w:rsid w:val="00633A2C"/>
    <w:rsid w:val="00634702"/>
    <w:rsid w:val="00635BC6"/>
    <w:rsid w:val="00636196"/>
    <w:rsid w:val="00636554"/>
    <w:rsid w:val="00640262"/>
    <w:rsid w:val="006405B8"/>
    <w:rsid w:val="0064228B"/>
    <w:rsid w:val="006467E0"/>
    <w:rsid w:val="00647A83"/>
    <w:rsid w:val="00650FF4"/>
    <w:rsid w:val="006510B6"/>
    <w:rsid w:val="00651233"/>
    <w:rsid w:val="0065765F"/>
    <w:rsid w:val="00657CC6"/>
    <w:rsid w:val="00660772"/>
    <w:rsid w:val="00660F27"/>
    <w:rsid w:val="0066284D"/>
    <w:rsid w:val="006643D8"/>
    <w:rsid w:val="00665E10"/>
    <w:rsid w:val="00666117"/>
    <w:rsid w:val="006661D6"/>
    <w:rsid w:val="00667D66"/>
    <w:rsid w:val="0067264E"/>
    <w:rsid w:val="00672BA8"/>
    <w:rsid w:val="00674960"/>
    <w:rsid w:val="0068026D"/>
    <w:rsid w:val="006820C5"/>
    <w:rsid w:val="0068324A"/>
    <w:rsid w:val="0068651F"/>
    <w:rsid w:val="00687DD2"/>
    <w:rsid w:val="00687F13"/>
    <w:rsid w:val="006908F1"/>
    <w:rsid w:val="00690EDA"/>
    <w:rsid w:val="00692C1D"/>
    <w:rsid w:val="0069530F"/>
    <w:rsid w:val="0069593A"/>
    <w:rsid w:val="006A0A15"/>
    <w:rsid w:val="006A0B7A"/>
    <w:rsid w:val="006A12BE"/>
    <w:rsid w:val="006A145F"/>
    <w:rsid w:val="006A2BE3"/>
    <w:rsid w:val="006A4616"/>
    <w:rsid w:val="006A5099"/>
    <w:rsid w:val="006A549B"/>
    <w:rsid w:val="006A5730"/>
    <w:rsid w:val="006B16EA"/>
    <w:rsid w:val="006B2CCB"/>
    <w:rsid w:val="006B34CD"/>
    <w:rsid w:val="006B52DC"/>
    <w:rsid w:val="006B709E"/>
    <w:rsid w:val="006B7797"/>
    <w:rsid w:val="006B79FE"/>
    <w:rsid w:val="006C3BCA"/>
    <w:rsid w:val="006C6457"/>
    <w:rsid w:val="006C7616"/>
    <w:rsid w:val="006C7699"/>
    <w:rsid w:val="006C7F4C"/>
    <w:rsid w:val="006D2158"/>
    <w:rsid w:val="006D2407"/>
    <w:rsid w:val="006D3157"/>
    <w:rsid w:val="006D44D0"/>
    <w:rsid w:val="006D538F"/>
    <w:rsid w:val="006D6BD4"/>
    <w:rsid w:val="006D6E1E"/>
    <w:rsid w:val="006E77A0"/>
    <w:rsid w:val="006E7EAD"/>
    <w:rsid w:val="006F067A"/>
    <w:rsid w:val="006F3109"/>
    <w:rsid w:val="006F5A4E"/>
    <w:rsid w:val="006F5C6D"/>
    <w:rsid w:val="007015F3"/>
    <w:rsid w:val="007017A4"/>
    <w:rsid w:val="00703133"/>
    <w:rsid w:val="00703AFE"/>
    <w:rsid w:val="00705CDD"/>
    <w:rsid w:val="00706B8F"/>
    <w:rsid w:val="00706C8A"/>
    <w:rsid w:val="00711626"/>
    <w:rsid w:val="007125F9"/>
    <w:rsid w:val="0071644B"/>
    <w:rsid w:val="00720450"/>
    <w:rsid w:val="0072207C"/>
    <w:rsid w:val="007230C1"/>
    <w:rsid w:val="00723B39"/>
    <w:rsid w:val="00726793"/>
    <w:rsid w:val="00726959"/>
    <w:rsid w:val="00726CC0"/>
    <w:rsid w:val="007275A1"/>
    <w:rsid w:val="00732CE8"/>
    <w:rsid w:val="007339D4"/>
    <w:rsid w:val="00735812"/>
    <w:rsid w:val="0074436A"/>
    <w:rsid w:val="00745F13"/>
    <w:rsid w:val="00746096"/>
    <w:rsid w:val="00747EF2"/>
    <w:rsid w:val="00751F00"/>
    <w:rsid w:val="00752380"/>
    <w:rsid w:val="007528A9"/>
    <w:rsid w:val="00753E6E"/>
    <w:rsid w:val="00755AF9"/>
    <w:rsid w:val="0076082F"/>
    <w:rsid w:val="007617B0"/>
    <w:rsid w:val="00765305"/>
    <w:rsid w:val="00765B9E"/>
    <w:rsid w:val="0076603A"/>
    <w:rsid w:val="00767862"/>
    <w:rsid w:val="00770492"/>
    <w:rsid w:val="00774398"/>
    <w:rsid w:val="00774E34"/>
    <w:rsid w:val="00774ED8"/>
    <w:rsid w:val="00776F99"/>
    <w:rsid w:val="007802FD"/>
    <w:rsid w:val="0078287E"/>
    <w:rsid w:val="00786B91"/>
    <w:rsid w:val="00790A9F"/>
    <w:rsid w:val="0079331F"/>
    <w:rsid w:val="0079403B"/>
    <w:rsid w:val="00794359"/>
    <w:rsid w:val="0079458E"/>
    <w:rsid w:val="00794E92"/>
    <w:rsid w:val="00797D17"/>
    <w:rsid w:val="007A31BA"/>
    <w:rsid w:val="007A3BA0"/>
    <w:rsid w:val="007A42CE"/>
    <w:rsid w:val="007A5429"/>
    <w:rsid w:val="007A5524"/>
    <w:rsid w:val="007A56C1"/>
    <w:rsid w:val="007B2EA4"/>
    <w:rsid w:val="007B3482"/>
    <w:rsid w:val="007B3715"/>
    <w:rsid w:val="007B5A43"/>
    <w:rsid w:val="007B5C42"/>
    <w:rsid w:val="007B6F5B"/>
    <w:rsid w:val="007B702C"/>
    <w:rsid w:val="007B7509"/>
    <w:rsid w:val="007B7579"/>
    <w:rsid w:val="007B7F0D"/>
    <w:rsid w:val="007C08F7"/>
    <w:rsid w:val="007C28AF"/>
    <w:rsid w:val="007C5AEF"/>
    <w:rsid w:val="007C66AA"/>
    <w:rsid w:val="007C7AD8"/>
    <w:rsid w:val="007D044C"/>
    <w:rsid w:val="007D4B3F"/>
    <w:rsid w:val="007E07B3"/>
    <w:rsid w:val="007E1DBB"/>
    <w:rsid w:val="007E1F21"/>
    <w:rsid w:val="007E6703"/>
    <w:rsid w:val="007F1826"/>
    <w:rsid w:val="007F37AE"/>
    <w:rsid w:val="007F45E1"/>
    <w:rsid w:val="007F4B98"/>
    <w:rsid w:val="007F5384"/>
    <w:rsid w:val="007F5844"/>
    <w:rsid w:val="0080073F"/>
    <w:rsid w:val="00800EF0"/>
    <w:rsid w:val="00800F72"/>
    <w:rsid w:val="00802262"/>
    <w:rsid w:val="008049B6"/>
    <w:rsid w:val="00804D77"/>
    <w:rsid w:val="00811BB0"/>
    <w:rsid w:val="008158CF"/>
    <w:rsid w:val="0082125D"/>
    <w:rsid w:val="00824907"/>
    <w:rsid w:val="00826F03"/>
    <w:rsid w:val="00831237"/>
    <w:rsid w:val="008346B4"/>
    <w:rsid w:val="008427F0"/>
    <w:rsid w:val="00842DC8"/>
    <w:rsid w:val="008442F4"/>
    <w:rsid w:val="008458F6"/>
    <w:rsid w:val="00846629"/>
    <w:rsid w:val="00850C3F"/>
    <w:rsid w:val="008512FC"/>
    <w:rsid w:val="00851B83"/>
    <w:rsid w:val="00852087"/>
    <w:rsid w:val="008534D9"/>
    <w:rsid w:val="00855F28"/>
    <w:rsid w:val="00856F44"/>
    <w:rsid w:val="00857F74"/>
    <w:rsid w:val="00860345"/>
    <w:rsid w:val="00861600"/>
    <w:rsid w:val="008633E2"/>
    <w:rsid w:val="00863662"/>
    <w:rsid w:val="00863D6E"/>
    <w:rsid w:val="00864EEF"/>
    <w:rsid w:val="00865262"/>
    <w:rsid w:val="00871611"/>
    <w:rsid w:val="00871806"/>
    <w:rsid w:val="00874F9D"/>
    <w:rsid w:val="00875A6F"/>
    <w:rsid w:val="0087725F"/>
    <w:rsid w:val="00877825"/>
    <w:rsid w:val="00880040"/>
    <w:rsid w:val="0088070B"/>
    <w:rsid w:val="00882586"/>
    <w:rsid w:val="00885601"/>
    <w:rsid w:val="008878F0"/>
    <w:rsid w:val="00897A34"/>
    <w:rsid w:val="008A04E4"/>
    <w:rsid w:val="008A1513"/>
    <w:rsid w:val="008A54C5"/>
    <w:rsid w:val="008A62F2"/>
    <w:rsid w:val="008A7A1F"/>
    <w:rsid w:val="008B2FB7"/>
    <w:rsid w:val="008B4344"/>
    <w:rsid w:val="008B6470"/>
    <w:rsid w:val="008C03ED"/>
    <w:rsid w:val="008C1AB7"/>
    <w:rsid w:val="008C41B0"/>
    <w:rsid w:val="008C42A2"/>
    <w:rsid w:val="008C43D6"/>
    <w:rsid w:val="008C539C"/>
    <w:rsid w:val="008C5C4D"/>
    <w:rsid w:val="008C7790"/>
    <w:rsid w:val="008C7A45"/>
    <w:rsid w:val="008D1BA3"/>
    <w:rsid w:val="008D2112"/>
    <w:rsid w:val="008D24B7"/>
    <w:rsid w:val="008D2629"/>
    <w:rsid w:val="008D38EF"/>
    <w:rsid w:val="008D3CEB"/>
    <w:rsid w:val="008D4EFA"/>
    <w:rsid w:val="008D52C0"/>
    <w:rsid w:val="008D7C04"/>
    <w:rsid w:val="008D7D27"/>
    <w:rsid w:val="008E5232"/>
    <w:rsid w:val="008E5412"/>
    <w:rsid w:val="008E7494"/>
    <w:rsid w:val="008F0588"/>
    <w:rsid w:val="008F3C9F"/>
    <w:rsid w:val="0090003A"/>
    <w:rsid w:val="009009A1"/>
    <w:rsid w:val="009046F4"/>
    <w:rsid w:val="00905A3D"/>
    <w:rsid w:val="0090605F"/>
    <w:rsid w:val="00906755"/>
    <w:rsid w:val="009077FB"/>
    <w:rsid w:val="00910C54"/>
    <w:rsid w:val="00912A7E"/>
    <w:rsid w:val="009136FB"/>
    <w:rsid w:val="00914723"/>
    <w:rsid w:val="00916F15"/>
    <w:rsid w:val="00917B93"/>
    <w:rsid w:val="00920DD2"/>
    <w:rsid w:val="00920E48"/>
    <w:rsid w:val="009214AA"/>
    <w:rsid w:val="0092429D"/>
    <w:rsid w:val="009249AC"/>
    <w:rsid w:val="009258DD"/>
    <w:rsid w:val="00926F35"/>
    <w:rsid w:val="009274F9"/>
    <w:rsid w:val="00930439"/>
    <w:rsid w:val="009326BB"/>
    <w:rsid w:val="00932AAD"/>
    <w:rsid w:val="00934CD5"/>
    <w:rsid w:val="0093513E"/>
    <w:rsid w:val="00936BFC"/>
    <w:rsid w:val="00940F20"/>
    <w:rsid w:val="00942543"/>
    <w:rsid w:val="0094372D"/>
    <w:rsid w:val="009439AF"/>
    <w:rsid w:val="009462F8"/>
    <w:rsid w:val="0095162D"/>
    <w:rsid w:val="00953159"/>
    <w:rsid w:val="00953CF1"/>
    <w:rsid w:val="0095733C"/>
    <w:rsid w:val="00957E48"/>
    <w:rsid w:val="00966813"/>
    <w:rsid w:val="009707E0"/>
    <w:rsid w:val="00973015"/>
    <w:rsid w:val="0097461E"/>
    <w:rsid w:val="00980E68"/>
    <w:rsid w:val="00981732"/>
    <w:rsid w:val="00982DEC"/>
    <w:rsid w:val="00983CB2"/>
    <w:rsid w:val="0098621F"/>
    <w:rsid w:val="00986673"/>
    <w:rsid w:val="00990959"/>
    <w:rsid w:val="00990EF1"/>
    <w:rsid w:val="00991AB7"/>
    <w:rsid w:val="00992B93"/>
    <w:rsid w:val="00993BAB"/>
    <w:rsid w:val="00994278"/>
    <w:rsid w:val="0099502C"/>
    <w:rsid w:val="00995F60"/>
    <w:rsid w:val="009A0677"/>
    <w:rsid w:val="009A1D81"/>
    <w:rsid w:val="009A23A8"/>
    <w:rsid w:val="009A2D1A"/>
    <w:rsid w:val="009A6848"/>
    <w:rsid w:val="009B05F5"/>
    <w:rsid w:val="009B2119"/>
    <w:rsid w:val="009B29B5"/>
    <w:rsid w:val="009B3CE1"/>
    <w:rsid w:val="009B4FA8"/>
    <w:rsid w:val="009B6C9A"/>
    <w:rsid w:val="009B770A"/>
    <w:rsid w:val="009C0098"/>
    <w:rsid w:val="009C2233"/>
    <w:rsid w:val="009C3C44"/>
    <w:rsid w:val="009C4000"/>
    <w:rsid w:val="009C4711"/>
    <w:rsid w:val="009C6287"/>
    <w:rsid w:val="009C7E3D"/>
    <w:rsid w:val="009D00E3"/>
    <w:rsid w:val="009D529A"/>
    <w:rsid w:val="009D5C0C"/>
    <w:rsid w:val="009D6FE1"/>
    <w:rsid w:val="009D7D2B"/>
    <w:rsid w:val="009D7EB1"/>
    <w:rsid w:val="009E2C3B"/>
    <w:rsid w:val="009E2CC2"/>
    <w:rsid w:val="009E3160"/>
    <w:rsid w:val="009E33F2"/>
    <w:rsid w:val="009E5C00"/>
    <w:rsid w:val="009F0028"/>
    <w:rsid w:val="009F28AF"/>
    <w:rsid w:val="009F2F6F"/>
    <w:rsid w:val="009F3603"/>
    <w:rsid w:val="009F3652"/>
    <w:rsid w:val="009F7136"/>
    <w:rsid w:val="009F7CBB"/>
    <w:rsid w:val="00A007BA"/>
    <w:rsid w:val="00A00813"/>
    <w:rsid w:val="00A00A4F"/>
    <w:rsid w:val="00A01284"/>
    <w:rsid w:val="00A02E38"/>
    <w:rsid w:val="00A0426F"/>
    <w:rsid w:val="00A10D84"/>
    <w:rsid w:val="00A11EEA"/>
    <w:rsid w:val="00A1248E"/>
    <w:rsid w:val="00A126F1"/>
    <w:rsid w:val="00A13855"/>
    <w:rsid w:val="00A13BCC"/>
    <w:rsid w:val="00A171CA"/>
    <w:rsid w:val="00A17A8E"/>
    <w:rsid w:val="00A17D13"/>
    <w:rsid w:val="00A202B1"/>
    <w:rsid w:val="00A254A9"/>
    <w:rsid w:val="00A266F2"/>
    <w:rsid w:val="00A272D6"/>
    <w:rsid w:val="00A302C0"/>
    <w:rsid w:val="00A32440"/>
    <w:rsid w:val="00A32A26"/>
    <w:rsid w:val="00A32B6E"/>
    <w:rsid w:val="00A35FE5"/>
    <w:rsid w:val="00A361CC"/>
    <w:rsid w:val="00A3682A"/>
    <w:rsid w:val="00A40A42"/>
    <w:rsid w:val="00A41E39"/>
    <w:rsid w:val="00A45363"/>
    <w:rsid w:val="00A45776"/>
    <w:rsid w:val="00A47EAC"/>
    <w:rsid w:val="00A52FE7"/>
    <w:rsid w:val="00A53923"/>
    <w:rsid w:val="00A54288"/>
    <w:rsid w:val="00A6027B"/>
    <w:rsid w:val="00A607C9"/>
    <w:rsid w:val="00A646E2"/>
    <w:rsid w:val="00A65196"/>
    <w:rsid w:val="00A65A2E"/>
    <w:rsid w:val="00A66762"/>
    <w:rsid w:val="00A707A1"/>
    <w:rsid w:val="00A71257"/>
    <w:rsid w:val="00A714B6"/>
    <w:rsid w:val="00A740DF"/>
    <w:rsid w:val="00A80BAD"/>
    <w:rsid w:val="00A80EFF"/>
    <w:rsid w:val="00A82296"/>
    <w:rsid w:val="00A831B7"/>
    <w:rsid w:val="00A839EB"/>
    <w:rsid w:val="00A8509B"/>
    <w:rsid w:val="00A85F22"/>
    <w:rsid w:val="00A90306"/>
    <w:rsid w:val="00A90BAD"/>
    <w:rsid w:val="00A90D71"/>
    <w:rsid w:val="00A923A8"/>
    <w:rsid w:val="00A93FE0"/>
    <w:rsid w:val="00A957CE"/>
    <w:rsid w:val="00AA0211"/>
    <w:rsid w:val="00AA0E18"/>
    <w:rsid w:val="00AA0EF5"/>
    <w:rsid w:val="00AA1E2A"/>
    <w:rsid w:val="00AA57F3"/>
    <w:rsid w:val="00AB1897"/>
    <w:rsid w:val="00AB32BD"/>
    <w:rsid w:val="00AB4212"/>
    <w:rsid w:val="00AB4719"/>
    <w:rsid w:val="00AB52D4"/>
    <w:rsid w:val="00AB61D7"/>
    <w:rsid w:val="00AC3C26"/>
    <w:rsid w:val="00AC49F9"/>
    <w:rsid w:val="00AC4C46"/>
    <w:rsid w:val="00AC4CED"/>
    <w:rsid w:val="00AC6108"/>
    <w:rsid w:val="00AC638B"/>
    <w:rsid w:val="00AC64D2"/>
    <w:rsid w:val="00AC7320"/>
    <w:rsid w:val="00AD03BD"/>
    <w:rsid w:val="00AD1EBD"/>
    <w:rsid w:val="00AD20DD"/>
    <w:rsid w:val="00AD310E"/>
    <w:rsid w:val="00AD537C"/>
    <w:rsid w:val="00AD6E4D"/>
    <w:rsid w:val="00AE0431"/>
    <w:rsid w:val="00AE6CCB"/>
    <w:rsid w:val="00AF0358"/>
    <w:rsid w:val="00AF0C85"/>
    <w:rsid w:val="00AF0F8F"/>
    <w:rsid w:val="00AF2062"/>
    <w:rsid w:val="00AF401A"/>
    <w:rsid w:val="00AF6330"/>
    <w:rsid w:val="00AF6586"/>
    <w:rsid w:val="00AF71C6"/>
    <w:rsid w:val="00B01180"/>
    <w:rsid w:val="00B024D4"/>
    <w:rsid w:val="00B028C8"/>
    <w:rsid w:val="00B03768"/>
    <w:rsid w:val="00B03B9E"/>
    <w:rsid w:val="00B03FA2"/>
    <w:rsid w:val="00B109C3"/>
    <w:rsid w:val="00B13188"/>
    <w:rsid w:val="00B148BC"/>
    <w:rsid w:val="00B162F3"/>
    <w:rsid w:val="00B169EB"/>
    <w:rsid w:val="00B186B2"/>
    <w:rsid w:val="00B23684"/>
    <w:rsid w:val="00B23D74"/>
    <w:rsid w:val="00B31918"/>
    <w:rsid w:val="00B321CD"/>
    <w:rsid w:val="00B358C7"/>
    <w:rsid w:val="00B35E9F"/>
    <w:rsid w:val="00B37410"/>
    <w:rsid w:val="00B419E1"/>
    <w:rsid w:val="00B41E6E"/>
    <w:rsid w:val="00B42266"/>
    <w:rsid w:val="00B42819"/>
    <w:rsid w:val="00B43D86"/>
    <w:rsid w:val="00B4416A"/>
    <w:rsid w:val="00B44DB7"/>
    <w:rsid w:val="00B45BA4"/>
    <w:rsid w:val="00B46030"/>
    <w:rsid w:val="00B46864"/>
    <w:rsid w:val="00B4727C"/>
    <w:rsid w:val="00B47A32"/>
    <w:rsid w:val="00B50A80"/>
    <w:rsid w:val="00B51A0E"/>
    <w:rsid w:val="00B51A3D"/>
    <w:rsid w:val="00B56CE6"/>
    <w:rsid w:val="00B57CCF"/>
    <w:rsid w:val="00B57F18"/>
    <w:rsid w:val="00B60E36"/>
    <w:rsid w:val="00B626A8"/>
    <w:rsid w:val="00B626EB"/>
    <w:rsid w:val="00B64204"/>
    <w:rsid w:val="00B64FD7"/>
    <w:rsid w:val="00B664C7"/>
    <w:rsid w:val="00B66677"/>
    <w:rsid w:val="00B66B33"/>
    <w:rsid w:val="00B6751D"/>
    <w:rsid w:val="00B70CA2"/>
    <w:rsid w:val="00B72F2B"/>
    <w:rsid w:val="00B73016"/>
    <w:rsid w:val="00B73E88"/>
    <w:rsid w:val="00B748A9"/>
    <w:rsid w:val="00B75C4D"/>
    <w:rsid w:val="00B75DF9"/>
    <w:rsid w:val="00B76FB6"/>
    <w:rsid w:val="00B8324B"/>
    <w:rsid w:val="00B83F7C"/>
    <w:rsid w:val="00B8424E"/>
    <w:rsid w:val="00B86C29"/>
    <w:rsid w:val="00B87B2C"/>
    <w:rsid w:val="00B92C2C"/>
    <w:rsid w:val="00B94661"/>
    <w:rsid w:val="00B94FD3"/>
    <w:rsid w:val="00B95920"/>
    <w:rsid w:val="00B9650F"/>
    <w:rsid w:val="00B96950"/>
    <w:rsid w:val="00BA0672"/>
    <w:rsid w:val="00BA18D6"/>
    <w:rsid w:val="00BA1F99"/>
    <w:rsid w:val="00BA73D6"/>
    <w:rsid w:val="00BB12B5"/>
    <w:rsid w:val="00BB21BA"/>
    <w:rsid w:val="00BB248F"/>
    <w:rsid w:val="00BB3335"/>
    <w:rsid w:val="00BB482F"/>
    <w:rsid w:val="00BB53E8"/>
    <w:rsid w:val="00BB5887"/>
    <w:rsid w:val="00BB666B"/>
    <w:rsid w:val="00BB7D07"/>
    <w:rsid w:val="00BC2EF7"/>
    <w:rsid w:val="00BC540A"/>
    <w:rsid w:val="00BC636E"/>
    <w:rsid w:val="00BC7847"/>
    <w:rsid w:val="00BD106F"/>
    <w:rsid w:val="00BD2C0F"/>
    <w:rsid w:val="00BD55AD"/>
    <w:rsid w:val="00BE3165"/>
    <w:rsid w:val="00BE39AE"/>
    <w:rsid w:val="00BE3D0E"/>
    <w:rsid w:val="00BE731A"/>
    <w:rsid w:val="00BF288E"/>
    <w:rsid w:val="00BF3D46"/>
    <w:rsid w:val="00BF578C"/>
    <w:rsid w:val="00BF6AB6"/>
    <w:rsid w:val="00BF71B4"/>
    <w:rsid w:val="00BF7464"/>
    <w:rsid w:val="00BF76C7"/>
    <w:rsid w:val="00C00518"/>
    <w:rsid w:val="00C03FD3"/>
    <w:rsid w:val="00C04F2B"/>
    <w:rsid w:val="00C123A7"/>
    <w:rsid w:val="00C1299F"/>
    <w:rsid w:val="00C1397D"/>
    <w:rsid w:val="00C14264"/>
    <w:rsid w:val="00C14C2F"/>
    <w:rsid w:val="00C15246"/>
    <w:rsid w:val="00C20073"/>
    <w:rsid w:val="00C21F9A"/>
    <w:rsid w:val="00C24FDB"/>
    <w:rsid w:val="00C26507"/>
    <w:rsid w:val="00C274FE"/>
    <w:rsid w:val="00C30763"/>
    <w:rsid w:val="00C32C50"/>
    <w:rsid w:val="00C34907"/>
    <w:rsid w:val="00C36091"/>
    <w:rsid w:val="00C3746E"/>
    <w:rsid w:val="00C37BAB"/>
    <w:rsid w:val="00C41C24"/>
    <w:rsid w:val="00C43497"/>
    <w:rsid w:val="00C4394C"/>
    <w:rsid w:val="00C455CB"/>
    <w:rsid w:val="00C4670C"/>
    <w:rsid w:val="00C50299"/>
    <w:rsid w:val="00C517F6"/>
    <w:rsid w:val="00C51E90"/>
    <w:rsid w:val="00C54143"/>
    <w:rsid w:val="00C541F4"/>
    <w:rsid w:val="00C548FF"/>
    <w:rsid w:val="00C56B2F"/>
    <w:rsid w:val="00C573E3"/>
    <w:rsid w:val="00C5762A"/>
    <w:rsid w:val="00C61D46"/>
    <w:rsid w:val="00C64400"/>
    <w:rsid w:val="00C647BC"/>
    <w:rsid w:val="00C64D91"/>
    <w:rsid w:val="00C64FAD"/>
    <w:rsid w:val="00C6658B"/>
    <w:rsid w:val="00C66611"/>
    <w:rsid w:val="00C66E74"/>
    <w:rsid w:val="00C7021C"/>
    <w:rsid w:val="00C70DB1"/>
    <w:rsid w:val="00C71766"/>
    <w:rsid w:val="00C72F57"/>
    <w:rsid w:val="00C73F3B"/>
    <w:rsid w:val="00C74342"/>
    <w:rsid w:val="00C83A12"/>
    <w:rsid w:val="00C846A8"/>
    <w:rsid w:val="00C85513"/>
    <w:rsid w:val="00C860E8"/>
    <w:rsid w:val="00C8644A"/>
    <w:rsid w:val="00C91833"/>
    <w:rsid w:val="00C9398B"/>
    <w:rsid w:val="00C939D2"/>
    <w:rsid w:val="00C939FA"/>
    <w:rsid w:val="00C940A6"/>
    <w:rsid w:val="00C96BF8"/>
    <w:rsid w:val="00C97F5D"/>
    <w:rsid w:val="00CA1266"/>
    <w:rsid w:val="00CA3905"/>
    <w:rsid w:val="00CA4DD8"/>
    <w:rsid w:val="00CA5335"/>
    <w:rsid w:val="00CA61E5"/>
    <w:rsid w:val="00CA6403"/>
    <w:rsid w:val="00CA7F87"/>
    <w:rsid w:val="00CB0D21"/>
    <w:rsid w:val="00CB17A5"/>
    <w:rsid w:val="00CB27D1"/>
    <w:rsid w:val="00CB3774"/>
    <w:rsid w:val="00CB7B72"/>
    <w:rsid w:val="00CB7C60"/>
    <w:rsid w:val="00CC0BCD"/>
    <w:rsid w:val="00CC35FD"/>
    <w:rsid w:val="00CC4DF3"/>
    <w:rsid w:val="00CD260C"/>
    <w:rsid w:val="00CD4CF2"/>
    <w:rsid w:val="00CD5377"/>
    <w:rsid w:val="00CE0FA6"/>
    <w:rsid w:val="00CE252C"/>
    <w:rsid w:val="00CE3AFE"/>
    <w:rsid w:val="00CE473B"/>
    <w:rsid w:val="00CE6B40"/>
    <w:rsid w:val="00CE7049"/>
    <w:rsid w:val="00CF08E6"/>
    <w:rsid w:val="00CF24BB"/>
    <w:rsid w:val="00CF7698"/>
    <w:rsid w:val="00D00A94"/>
    <w:rsid w:val="00D07ABF"/>
    <w:rsid w:val="00D110EF"/>
    <w:rsid w:val="00D1178D"/>
    <w:rsid w:val="00D1229B"/>
    <w:rsid w:val="00D132D1"/>
    <w:rsid w:val="00D13EB9"/>
    <w:rsid w:val="00D16FF2"/>
    <w:rsid w:val="00D176D1"/>
    <w:rsid w:val="00D20F15"/>
    <w:rsid w:val="00D2165A"/>
    <w:rsid w:val="00D21E37"/>
    <w:rsid w:val="00D25377"/>
    <w:rsid w:val="00D268E7"/>
    <w:rsid w:val="00D304FF"/>
    <w:rsid w:val="00D3171F"/>
    <w:rsid w:val="00D34B6D"/>
    <w:rsid w:val="00D37112"/>
    <w:rsid w:val="00D403F5"/>
    <w:rsid w:val="00D437CA"/>
    <w:rsid w:val="00D43B9F"/>
    <w:rsid w:val="00D45A4F"/>
    <w:rsid w:val="00D469EB"/>
    <w:rsid w:val="00D514E7"/>
    <w:rsid w:val="00D53D03"/>
    <w:rsid w:val="00D544C4"/>
    <w:rsid w:val="00D55C48"/>
    <w:rsid w:val="00D6373C"/>
    <w:rsid w:val="00D64512"/>
    <w:rsid w:val="00D673B2"/>
    <w:rsid w:val="00D700FB"/>
    <w:rsid w:val="00D704AC"/>
    <w:rsid w:val="00D7281D"/>
    <w:rsid w:val="00D72EB3"/>
    <w:rsid w:val="00D72F38"/>
    <w:rsid w:val="00D7411D"/>
    <w:rsid w:val="00D76135"/>
    <w:rsid w:val="00D80D53"/>
    <w:rsid w:val="00D81233"/>
    <w:rsid w:val="00D86525"/>
    <w:rsid w:val="00D875FC"/>
    <w:rsid w:val="00D938E7"/>
    <w:rsid w:val="00D93FC6"/>
    <w:rsid w:val="00D94676"/>
    <w:rsid w:val="00D94B9F"/>
    <w:rsid w:val="00D953D8"/>
    <w:rsid w:val="00D977B6"/>
    <w:rsid w:val="00DA1AF3"/>
    <w:rsid w:val="00DA24C8"/>
    <w:rsid w:val="00DA2C12"/>
    <w:rsid w:val="00DA60D9"/>
    <w:rsid w:val="00DB0469"/>
    <w:rsid w:val="00DB058B"/>
    <w:rsid w:val="00DB155F"/>
    <w:rsid w:val="00DB1E78"/>
    <w:rsid w:val="00DC1B3B"/>
    <w:rsid w:val="00DC1F4F"/>
    <w:rsid w:val="00DC3A8F"/>
    <w:rsid w:val="00DC3AEA"/>
    <w:rsid w:val="00DC3D5E"/>
    <w:rsid w:val="00DC3F78"/>
    <w:rsid w:val="00DC4F9D"/>
    <w:rsid w:val="00DC7D69"/>
    <w:rsid w:val="00DD0884"/>
    <w:rsid w:val="00DD0D22"/>
    <w:rsid w:val="00DD0FF4"/>
    <w:rsid w:val="00DD144B"/>
    <w:rsid w:val="00DD3A70"/>
    <w:rsid w:val="00DD58B2"/>
    <w:rsid w:val="00DD5CFB"/>
    <w:rsid w:val="00DD6F18"/>
    <w:rsid w:val="00DE462E"/>
    <w:rsid w:val="00DE5E77"/>
    <w:rsid w:val="00DF0C01"/>
    <w:rsid w:val="00DF0F33"/>
    <w:rsid w:val="00DF2D17"/>
    <w:rsid w:val="00DF33DB"/>
    <w:rsid w:val="00DF3BA6"/>
    <w:rsid w:val="00DF44AB"/>
    <w:rsid w:val="00DF4B01"/>
    <w:rsid w:val="00DF5083"/>
    <w:rsid w:val="00E00547"/>
    <w:rsid w:val="00E036BB"/>
    <w:rsid w:val="00E03920"/>
    <w:rsid w:val="00E0527A"/>
    <w:rsid w:val="00E07087"/>
    <w:rsid w:val="00E075BB"/>
    <w:rsid w:val="00E07F60"/>
    <w:rsid w:val="00E13F25"/>
    <w:rsid w:val="00E14BC0"/>
    <w:rsid w:val="00E1590B"/>
    <w:rsid w:val="00E17608"/>
    <w:rsid w:val="00E2020D"/>
    <w:rsid w:val="00E20F67"/>
    <w:rsid w:val="00E23C50"/>
    <w:rsid w:val="00E25CF4"/>
    <w:rsid w:val="00E27835"/>
    <w:rsid w:val="00E31C89"/>
    <w:rsid w:val="00E34AB0"/>
    <w:rsid w:val="00E35195"/>
    <w:rsid w:val="00E35CC6"/>
    <w:rsid w:val="00E40A9D"/>
    <w:rsid w:val="00E4431B"/>
    <w:rsid w:val="00E50DD2"/>
    <w:rsid w:val="00E5216A"/>
    <w:rsid w:val="00E546CF"/>
    <w:rsid w:val="00E54CE1"/>
    <w:rsid w:val="00E55E7A"/>
    <w:rsid w:val="00E57884"/>
    <w:rsid w:val="00E57D87"/>
    <w:rsid w:val="00E64E4A"/>
    <w:rsid w:val="00E653F4"/>
    <w:rsid w:val="00E658C2"/>
    <w:rsid w:val="00E7005D"/>
    <w:rsid w:val="00E72806"/>
    <w:rsid w:val="00E733D6"/>
    <w:rsid w:val="00E73F4C"/>
    <w:rsid w:val="00E81ABB"/>
    <w:rsid w:val="00E83FF1"/>
    <w:rsid w:val="00E87811"/>
    <w:rsid w:val="00E9066F"/>
    <w:rsid w:val="00E91C24"/>
    <w:rsid w:val="00E9259E"/>
    <w:rsid w:val="00E9275C"/>
    <w:rsid w:val="00E93636"/>
    <w:rsid w:val="00E9375C"/>
    <w:rsid w:val="00E95A6D"/>
    <w:rsid w:val="00E96904"/>
    <w:rsid w:val="00EA3E00"/>
    <w:rsid w:val="00EA61CC"/>
    <w:rsid w:val="00EA65A3"/>
    <w:rsid w:val="00EA6956"/>
    <w:rsid w:val="00EA69C6"/>
    <w:rsid w:val="00EB129D"/>
    <w:rsid w:val="00EB44D7"/>
    <w:rsid w:val="00EB4591"/>
    <w:rsid w:val="00EB4E0D"/>
    <w:rsid w:val="00EB56D2"/>
    <w:rsid w:val="00EB68CF"/>
    <w:rsid w:val="00EB7A3F"/>
    <w:rsid w:val="00EB7AF4"/>
    <w:rsid w:val="00EC1356"/>
    <w:rsid w:val="00EC191D"/>
    <w:rsid w:val="00EC1A75"/>
    <w:rsid w:val="00EC2BDB"/>
    <w:rsid w:val="00EC48E2"/>
    <w:rsid w:val="00EC6248"/>
    <w:rsid w:val="00EC645B"/>
    <w:rsid w:val="00EC69BD"/>
    <w:rsid w:val="00EC6E4B"/>
    <w:rsid w:val="00EC70CF"/>
    <w:rsid w:val="00ED04CE"/>
    <w:rsid w:val="00ED188E"/>
    <w:rsid w:val="00ED2C1E"/>
    <w:rsid w:val="00ED48EA"/>
    <w:rsid w:val="00EE0714"/>
    <w:rsid w:val="00EE4489"/>
    <w:rsid w:val="00EE4845"/>
    <w:rsid w:val="00EE6878"/>
    <w:rsid w:val="00EF0ACF"/>
    <w:rsid w:val="00EF0FCC"/>
    <w:rsid w:val="00EF2022"/>
    <w:rsid w:val="00EF24D0"/>
    <w:rsid w:val="00EF33E3"/>
    <w:rsid w:val="00EF3B99"/>
    <w:rsid w:val="00EF66A1"/>
    <w:rsid w:val="00EF67CC"/>
    <w:rsid w:val="00EF7C5F"/>
    <w:rsid w:val="00EF7FF2"/>
    <w:rsid w:val="00F0092A"/>
    <w:rsid w:val="00F01FE7"/>
    <w:rsid w:val="00F03F00"/>
    <w:rsid w:val="00F043FE"/>
    <w:rsid w:val="00F10B1E"/>
    <w:rsid w:val="00F11C26"/>
    <w:rsid w:val="00F176C2"/>
    <w:rsid w:val="00F23486"/>
    <w:rsid w:val="00F24436"/>
    <w:rsid w:val="00F245BF"/>
    <w:rsid w:val="00F250CC"/>
    <w:rsid w:val="00F25427"/>
    <w:rsid w:val="00F25730"/>
    <w:rsid w:val="00F25CF5"/>
    <w:rsid w:val="00F270A4"/>
    <w:rsid w:val="00F30AD2"/>
    <w:rsid w:val="00F33E5C"/>
    <w:rsid w:val="00F35D87"/>
    <w:rsid w:val="00F36DEB"/>
    <w:rsid w:val="00F42014"/>
    <w:rsid w:val="00F43399"/>
    <w:rsid w:val="00F452D1"/>
    <w:rsid w:val="00F46C1D"/>
    <w:rsid w:val="00F51922"/>
    <w:rsid w:val="00F51C11"/>
    <w:rsid w:val="00F525D6"/>
    <w:rsid w:val="00F54231"/>
    <w:rsid w:val="00F56B4C"/>
    <w:rsid w:val="00F60861"/>
    <w:rsid w:val="00F60CE9"/>
    <w:rsid w:val="00F67911"/>
    <w:rsid w:val="00F67D15"/>
    <w:rsid w:val="00F70573"/>
    <w:rsid w:val="00F70684"/>
    <w:rsid w:val="00F71B6C"/>
    <w:rsid w:val="00F71F96"/>
    <w:rsid w:val="00F73F31"/>
    <w:rsid w:val="00F7520C"/>
    <w:rsid w:val="00F753D3"/>
    <w:rsid w:val="00F7559F"/>
    <w:rsid w:val="00F76E47"/>
    <w:rsid w:val="00F80297"/>
    <w:rsid w:val="00F8042B"/>
    <w:rsid w:val="00F80A66"/>
    <w:rsid w:val="00F81C77"/>
    <w:rsid w:val="00F82B66"/>
    <w:rsid w:val="00F918CC"/>
    <w:rsid w:val="00F93F9C"/>
    <w:rsid w:val="00F9486B"/>
    <w:rsid w:val="00F94E23"/>
    <w:rsid w:val="00F9692F"/>
    <w:rsid w:val="00F97038"/>
    <w:rsid w:val="00F97287"/>
    <w:rsid w:val="00FA22CD"/>
    <w:rsid w:val="00FA24C4"/>
    <w:rsid w:val="00FA2AC6"/>
    <w:rsid w:val="00FA4B68"/>
    <w:rsid w:val="00FA4FA9"/>
    <w:rsid w:val="00FA504F"/>
    <w:rsid w:val="00FA5421"/>
    <w:rsid w:val="00FA55B5"/>
    <w:rsid w:val="00FA6C0D"/>
    <w:rsid w:val="00FB077D"/>
    <w:rsid w:val="00FB3F3D"/>
    <w:rsid w:val="00FB66BF"/>
    <w:rsid w:val="00FB6796"/>
    <w:rsid w:val="00FC0ECF"/>
    <w:rsid w:val="00FC1985"/>
    <w:rsid w:val="00FC3280"/>
    <w:rsid w:val="00FC4359"/>
    <w:rsid w:val="00FC7548"/>
    <w:rsid w:val="00FC7BD8"/>
    <w:rsid w:val="00FD0AF4"/>
    <w:rsid w:val="00FD142A"/>
    <w:rsid w:val="00FD270C"/>
    <w:rsid w:val="00FD73EF"/>
    <w:rsid w:val="00FD7F44"/>
    <w:rsid w:val="00FE1639"/>
    <w:rsid w:val="00FE16BB"/>
    <w:rsid w:val="00FE38BA"/>
    <w:rsid w:val="00FE5746"/>
    <w:rsid w:val="00FE6D2F"/>
    <w:rsid w:val="00FF2BC2"/>
    <w:rsid w:val="00FF4BF8"/>
    <w:rsid w:val="00FF55A0"/>
    <w:rsid w:val="00FF71D5"/>
    <w:rsid w:val="00FF7501"/>
    <w:rsid w:val="0257C371"/>
    <w:rsid w:val="02DDE1A4"/>
    <w:rsid w:val="033A3D6C"/>
    <w:rsid w:val="0531B566"/>
    <w:rsid w:val="06AD86D1"/>
    <w:rsid w:val="06C6980B"/>
    <w:rsid w:val="07329D91"/>
    <w:rsid w:val="082361F4"/>
    <w:rsid w:val="086F5ECA"/>
    <w:rsid w:val="08C10B1D"/>
    <w:rsid w:val="08EE7C39"/>
    <w:rsid w:val="0C3D4FC1"/>
    <w:rsid w:val="0CE63911"/>
    <w:rsid w:val="0D6313F3"/>
    <w:rsid w:val="110FA6C1"/>
    <w:rsid w:val="12359475"/>
    <w:rsid w:val="13189908"/>
    <w:rsid w:val="131A6DC1"/>
    <w:rsid w:val="1390CF36"/>
    <w:rsid w:val="152A2858"/>
    <w:rsid w:val="15EF21E2"/>
    <w:rsid w:val="1649E2D3"/>
    <w:rsid w:val="16C278C7"/>
    <w:rsid w:val="1745A1D4"/>
    <w:rsid w:val="182A0BAE"/>
    <w:rsid w:val="18C671F2"/>
    <w:rsid w:val="18F8C608"/>
    <w:rsid w:val="192D9864"/>
    <w:rsid w:val="1A21AB5B"/>
    <w:rsid w:val="1A50AB1A"/>
    <w:rsid w:val="1B53D1C4"/>
    <w:rsid w:val="1BEA72A6"/>
    <w:rsid w:val="1D0478D8"/>
    <w:rsid w:val="1E8323A1"/>
    <w:rsid w:val="1F7D85A0"/>
    <w:rsid w:val="1FAF2E65"/>
    <w:rsid w:val="21F4B9F1"/>
    <w:rsid w:val="24144549"/>
    <w:rsid w:val="249A37FA"/>
    <w:rsid w:val="268847CE"/>
    <w:rsid w:val="271BD486"/>
    <w:rsid w:val="2740A27A"/>
    <w:rsid w:val="2AB510A7"/>
    <w:rsid w:val="2B570ADE"/>
    <w:rsid w:val="2DEE7165"/>
    <w:rsid w:val="2E4B156A"/>
    <w:rsid w:val="2EB2BAAD"/>
    <w:rsid w:val="2EDE84D5"/>
    <w:rsid w:val="2F2B4C28"/>
    <w:rsid w:val="2FA81137"/>
    <w:rsid w:val="301DB14A"/>
    <w:rsid w:val="32DCD4B6"/>
    <w:rsid w:val="3308BEFF"/>
    <w:rsid w:val="333B24EF"/>
    <w:rsid w:val="3566B1DD"/>
    <w:rsid w:val="35974D0F"/>
    <w:rsid w:val="370DB2DF"/>
    <w:rsid w:val="37674375"/>
    <w:rsid w:val="3956E40E"/>
    <w:rsid w:val="3B069F8F"/>
    <w:rsid w:val="3BB0F6A7"/>
    <w:rsid w:val="3CF4A682"/>
    <w:rsid w:val="3DBFC1C5"/>
    <w:rsid w:val="3DD71192"/>
    <w:rsid w:val="404CF766"/>
    <w:rsid w:val="4071D3A1"/>
    <w:rsid w:val="426DE70D"/>
    <w:rsid w:val="43238F65"/>
    <w:rsid w:val="441D5581"/>
    <w:rsid w:val="44523EDB"/>
    <w:rsid w:val="45DCB76C"/>
    <w:rsid w:val="464B81E4"/>
    <w:rsid w:val="46B218DB"/>
    <w:rsid w:val="46F9B404"/>
    <w:rsid w:val="48D9C87F"/>
    <w:rsid w:val="4AE0B820"/>
    <w:rsid w:val="4CC11B8C"/>
    <w:rsid w:val="4D389923"/>
    <w:rsid w:val="4DD92A46"/>
    <w:rsid w:val="4E3F032F"/>
    <w:rsid w:val="4EE995D7"/>
    <w:rsid w:val="4F1768FE"/>
    <w:rsid w:val="4F911E0E"/>
    <w:rsid w:val="529FC32D"/>
    <w:rsid w:val="53112AAB"/>
    <w:rsid w:val="53232639"/>
    <w:rsid w:val="53C0F17F"/>
    <w:rsid w:val="55CA9E77"/>
    <w:rsid w:val="5774FDF6"/>
    <w:rsid w:val="58F89FF3"/>
    <w:rsid w:val="59EB6FF9"/>
    <w:rsid w:val="5B045499"/>
    <w:rsid w:val="5C7C92A2"/>
    <w:rsid w:val="5D556A72"/>
    <w:rsid w:val="5E34E550"/>
    <w:rsid w:val="5F82A358"/>
    <w:rsid w:val="60F0C45E"/>
    <w:rsid w:val="60F759E8"/>
    <w:rsid w:val="613EEE45"/>
    <w:rsid w:val="62367DEA"/>
    <w:rsid w:val="62DE3DED"/>
    <w:rsid w:val="63070C94"/>
    <w:rsid w:val="641ACDB2"/>
    <w:rsid w:val="65548E85"/>
    <w:rsid w:val="6579DD5E"/>
    <w:rsid w:val="669331A4"/>
    <w:rsid w:val="67E1932A"/>
    <w:rsid w:val="680E9A90"/>
    <w:rsid w:val="68E60206"/>
    <w:rsid w:val="69206A94"/>
    <w:rsid w:val="6B3A19C0"/>
    <w:rsid w:val="6C0CE960"/>
    <w:rsid w:val="6C9DB8D4"/>
    <w:rsid w:val="6DE8B920"/>
    <w:rsid w:val="6ED92D93"/>
    <w:rsid w:val="6EF2B327"/>
    <w:rsid w:val="70288242"/>
    <w:rsid w:val="71C2A282"/>
    <w:rsid w:val="732C0348"/>
    <w:rsid w:val="7410B9AA"/>
    <w:rsid w:val="7556CCCD"/>
    <w:rsid w:val="763C2152"/>
    <w:rsid w:val="765F4F88"/>
    <w:rsid w:val="768BC7B8"/>
    <w:rsid w:val="76DD90D5"/>
    <w:rsid w:val="771EC1A8"/>
    <w:rsid w:val="77CBBC32"/>
    <w:rsid w:val="78A299D8"/>
    <w:rsid w:val="7A41FEBD"/>
    <w:rsid w:val="7AD10D43"/>
    <w:rsid w:val="7BC35C6F"/>
    <w:rsid w:val="7C020B74"/>
    <w:rsid w:val="7D1FDDAE"/>
    <w:rsid w:val="7DA0496F"/>
    <w:rsid w:val="7E6D1A16"/>
    <w:rsid w:val="7ECCBEF3"/>
    <w:rsid w:val="7F371365"/>
    <w:rsid w:val="7F8E86B9"/>
    <w:rsid w:val="7F92FA92"/>
    <w:rsid w:val="7FBFCE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947643"/>
  <w14:defaultImageDpi w14:val="0"/>
  <w15:docId w15:val="{2C6C7EDD-6E2E-4A5D-91A4-6F7967E6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396"/>
    <w:rPr>
      <w:rFonts w:ascii="Times New Roman" w:hAnsi="Times New Roman"/>
      <w:sz w:val="24"/>
      <w:szCs w:val="24"/>
    </w:rPr>
  </w:style>
  <w:style w:type="paragraph" w:styleId="Heading1">
    <w:name w:val="heading 1"/>
    <w:basedOn w:val="CM16"/>
    <w:link w:val="Heading1Char"/>
    <w:uiPriority w:val="9"/>
    <w:qFormat/>
    <w:rsid w:val="0069530F"/>
    <w:pPr>
      <w:spacing w:after="201" w:line="276" w:lineRule="atLeast"/>
      <w:ind w:hanging="720"/>
      <w:outlineLvl w:val="0"/>
    </w:pPr>
    <w:rPr>
      <w:b/>
      <w:caps/>
    </w:rPr>
  </w:style>
  <w:style w:type="paragraph" w:styleId="Heading2">
    <w:name w:val="heading 2"/>
    <w:basedOn w:val="Normal"/>
    <w:next w:val="Normal"/>
    <w:link w:val="Heading2Char"/>
    <w:uiPriority w:val="9"/>
    <w:unhideWhenUsed/>
    <w:qFormat/>
    <w:rsid w:val="004B53ED"/>
    <w:pPr>
      <w:ind w:left="36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69530F"/>
    <w:rPr>
      <w:rFonts w:ascii="Times New Roman" w:hAnsi="Times New Roman"/>
      <w:b/>
      <w:caps/>
      <w:sz w:val="24"/>
      <w:szCs w:val="24"/>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53" w:lineRule="atLeast"/>
    </w:pPr>
    <w:rPr>
      <w:color w:val="auto"/>
    </w:rPr>
  </w:style>
  <w:style w:type="paragraph" w:customStyle="1" w:styleId="CM14">
    <w:name w:val="CM14"/>
    <w:basedOn w:val="Default"/>
    <w:next w:val="Default"/>
    <w:uiPriority w:val="99"/>
    <w:rPr>
      <w:color w:val="auto"/>
    </w:rPr>
  </w:style>
  <w:style w:type="paragraph" w:customStyle="1" w:styleId="CM15">
    <w:name w:val="CM15"/>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16">
    <w:name w:val="CM16"/>
    <w:basedOn w:val="Default"/>
    <w:next w:val="Default"/>
    <w:uiPriority w:val="99"/>
    <w:rPr>
      <w:color w:val="auto"/>
    </w:rPr>
  </w:style>
  <w:style w:type="paragraph" w:customStyle="1" w:styleId="CM6">
    <w:name w:val="CM6"/>
    <w:basedOn w:val="Default"/>
    <w:next w:val="Default"/>
    <w:uiPriority w:val="99"/>
    <w:pPr>
      <w:spacing w:line="276" w:lineRule="atLeast"/>
    </w:pPr>
    <w:rPr>
      <w:color w:val="auto"/>
    </w:rPr>
  </w:style>
  <w:style w:type="paragraph" w:customStyle="1" w:styleId="CM7">
    <w:name w:val="CM7"/>
    <w:basedOn w:val="Default"/>
    <w:next w:val="Default"/>
    <w:uiPriority w:val="99"/>
    <w:pPr>
      <w:spacing w:line="276" w:lineRule="atLeast"/>
    </w:pPr>
    <w:rPr>
      <w:color w:val="auto"/>
    </w:rPr>
  </w:style>
  <w:style w:type="paragraph" w:customStyle="1" w:styleId="CM8">
    <w:name w:val="CM8"/>
    <w:basedOn w:val="Default"/>
    <w:next w:val="Default"/>
    <w:uiPriority w:val="99"/>
    <w:pPr>
      <w:spacing w:line="276" w:lineRule="atLeast"/>
    </w:pPr>
    <w:rPr>
      <w:color w:val="auto"/>
    </w:rPr>
  </w:style>
  <w:style w:type="paragraph" w:customStyle="1" w:styleId="CM9">
    <w:name w:val="CM9"/>
    <w:basedOn w:val="Default"/>
    <w:next w:val="Default"/>
    <w:uiPriority w:val="99"/>
    <w:pPr>
      <w:spacing w:line="276"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3">
    <w:name w:val="CM13"/>
    <w:basedOn w:val="Default"/>
    <w:next w:val="Default"/>
    <w:uiPriority w:val="99"/>
    <w:pPr>
      <w:spacing w:line="276" w:lineRule="atLeast"/>
    </w:pPr>
    <w:rPr>
      <w:color w:val="auto"/>
    </w:rPr>
  </w:style>
  <w:style w:type="paragraph" w:styleId="NoSpacing">
    <w:name w:val="No Spacing"/>
    <w:uiPriority w:val="99"/>
    <w:qFormat/>
    <w:rsid w:val="00FC1985"/>
    <w:pPr>
      <w:spacing w:after="0" w:line="240" w:lineRule="auto"/>
    </w:pPr>
  </w:style>
  <w:style w:type="character" w:styleId="Strong">
    <w:name w:val="Strong"/>
    <w:basedOn w:val="DefaultParagraphFont"/>
    <w:uiPriority w:val="22"/>
    <w:qFormat/>
    <w:rsid w:val="00FC1985"/>
    <w:rPr>
      <w:rFonts w:cs="Times New Roman"/>
      <w:b/>
    </w:rPr>
  </w:style>
  <w:style w:type="character" w:customStyle="1" w:styleId="normaltextrun">
    <w:name w:val="normaltextrun"/>
    <w:rsid w:val="00D76135"/>
    <w:rPr>
      <w:rFonts w:ascii="Times New Roman" w:hAnsi="Times New Roman"/>
    </w:rPr>
  </w:style>
  <w:style w:type="character" w:customStyle="1" w:styleId="eop">
    <w:name w:val="eop"/>
    <w:rsid w:val="00D76135"/>
    <w:rPr>
      <w:rFonts w:ascii="Times New Roman" w:hAnsi="Times New Roman"/>
    </w:rPr>
  </w:style>
  <w:style w:type="paragraph" w:styleId="FootnoteText">
    <w:name w:val="footnote text"/>
    <w:basedOn w:val="Normal"/>
    <w:link w:val="FootnoteTextChar"/>
    <w:uiPriority w:val="99"/>
    <w:unhideWhenUsed/>
    <w:rsid w:val="003822AD"/>
    <w:pPr>
      <w:spacing w:after="0" w:line="240" w:lineRule="auto"/>
    </w:pPr>
    <w:rPr>
      <w:sz w:val="20"/>
      <w:szCs w:val="20"/>
    </w:rPr>
  </w:style>
  <w:style w:type="character" w:customStyle="1" w:styleId="FootnoteTextChar">
    <w:name w:val="Footnote Text Char"/>
    <w:basedOn w:val="DefaultParagraphFont"/>
    <w:link w:val="FootnoteText"/>
    <w:uiPriority w:val="99"/>
    <w:locked/>
    <w:rsid w:val="003822AD"/>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3822AD"/>
    <w:rPr>
      <w:rFonts w:cs="Times New Roman"/>
      <w:vertAlign w:val="superscript"/>
    </w:rPr>
  </w:style>
  <w:style w:type="character" w:styleId="Hyperlink">
    <w:name w:val="Hyperlink"/>
    <w:basedOn w:val="DefaultParagraphFont"/>
    <w:uiPriority w:val="99"/>
    <w:unhideWhenUsed/>
    <w:rsid w:val="003822AD"/>
    <w:rPr>
      <w:rFonts w:cs="Times New Roman"/>
      <w:color w:val="0000FF"/>
      <w:u w:val="single"/>
    </w:rPr>
  </w:style>
  <w:style w:type="character" w:styleId="UnresolvedMention">
    <w:name w:val="Unresolved Mention"/>
    <w:basedOn w:val="DefaultParagraphFont"/>
    <w:uiPriority w:val="99"/>
    <w:semiHidden/>
    <w:unhideWhenUsed/>
    <w:rsid w:val="003822AD"/>
    <w:rPr>
      <w:rFonts w:cs="Times New Roman"/>
      <w:color w:val="605E5C"/>
      <w:shd w:val="clear" w:color="auto" w:fill="E1DFDD"/>
    </w:rPr>
  </w:style>
  <w:style w:type="character" w:styleId="CommentReference">
    <w:name w:val="annotation reference"/>
    <w:basedOn w:val="DefaultParagraphFont"/>
    <w:uiPriority w:val="99"/>
    <w:semiHidden/>
    <w:unhideWhenUsed/>
    <w:rsid w:val="003139AB"/>
    <w:rPr>
      <w:rFonts w:cs="Times New Roman"/>
      <w:sz w:val="16"/>
      <w:szCs w:val="16"/>
    </w:rPr>
  </w:style>
  <w:style w:type="paragraph" w:styleId="CommentText">
    <w:name w:val="annotation text"/>
    <w:basedOn w:val="Normal"/>
    <w:link w:val="CommentTextChar"/>
    <w:uiPriority w:val="99"/>
    <w:unhideWhenUsed/>
    <w:rsid w:val="003139AB"/>
    <w:rPr>
      <w:sz w:val="20"/>
      <w:szCs w:val="20"/>
    </w:rPr>
  </w:style>
  <w:style w:type="character" w:customStyle="1" w:styleId="CommentTextChar">
    <w:name w:val="Comment Text Char"/>
    <w:basedOn w:val="DefaultParagraphFont"/>
    <w:link w:val="CommentText"/>
    <w:uiPriority w:val="99"/>
    <w:locked/>
    <w:rsid w:val="003139AB"/>
    <w:rPr>
      <w:rFonts w:cs="Times New Roman"/>
      <w:sz w:val="20"/>
      <w:szCs w:val="20"/>
    </w:rPr>
  </w:style>
  <w:style w:type="paragraph" w:styleId="CommentSubject">
    <w:name w:val="annotation subject"/>
    <w:basedOn w:val="CommentText"/>
    <w:next w:val="CommentText"/>
    <w:link w:val="CommentSubjectChar"/>
    <w:uiPriority w:val="99"/>
    <w:semiHidden/>
    <w:unhideWhenUsed/>
    <w:rsid w:val="003139AB"/>
    <w:rPr>
      <w:b/>
      <w:bCs/>
    </w:rPr>
  </w:style>
  <w:style w:type="character" w:customStyle="1" w:styleId="CommentSubjectChar">
    <w:name w:val="Comment Subject Char"/>
    <w:basedOn w:val="CommentTextChar"/>
    <w:link w:val="CommentSubject"/>
    <w:uiPriority w:val="99"/>
    <w:semiHidden/>
    <w:locked/>
    <w:rsid w:val="003139AB"/>
    <w:rPr>
      <w:rFonts w:cs="Times New Roman"/>
      <w:b/>
      <w:bCs/>
      <w:sz w:val="20"/>
      <w:szCs w:val="20"/>
    </w:rPr>
  </w:style>
  <w:style w:type="character" w:styleId="FollowedHyperlink">
    <w:name w:val="FollowedHyperlink"/>
    <w:basedOn w:val="DefaultParagraphFont"/>
    <w:uiPriority w:val="99"/>
    <w:semiHidden/>
    <w:unhideWhenUsed/>
    <w:rsid w:val="00090396"/>
    <w:rPr>
      <w:rFonts w:cs="Times New Roman"/>
      <w:color w:val="954F72" w:themeColor="followedHyperlink"/>
      <w:u w:val="single"/>
    </w:rPr>
  </w:style>
  <w:style w:type="paragraph" w:customStyle="1" w:styleId="Body">
    <w:name w:val="Body"/>
    <w:rsid w:val="000116A0"/>
    <w:pPr>
      <w:pBdr>
        <w:top w:val="none" w:sz="96" w:space="31" w:color="FFFFFF" w:frame="1"/>
        <w:left w:val="none" w:sz="96" w:space="31" w:color="FFFFFF" w:frame="1"/>
        <w:bottom w:val="none" w:sz="96" w:space="31" w:color="FFFFFF" w:frame="1"/>
        <w:right w:val="none" w:sz="96" w:space="31" w:color="FFFFFF" w:frame="1"/>
      </w:pBdr>
      <w:spacing w:after="0" w:line="240" w:lineRule="auto"/>
    </w:pPr>
    <w:rPr>
      <w:rFonts w:ascii="Helvetica" w:eastAsia="Arial Unicode MS" w:hAnsi="Arial Unicode MS" w:cs="Arial Unicode MS"/>
      <w:color w:val="000000"/>
    </w:rPr>
  </w:style>
  <w:style w:type="character" w:customStyle="1" w:styleId="Hyperlink0">
    <w:name w:val="Hyperlink.0"/>
    <w:rsid w:val="000116A0"/>
    <w:rPr>
      <w:color w:val="0563C1"/>
      <w:u w:val="single"/>
    </w:rPr>
  </w:style>
  <w:style w:type="paragraph" w:styleId="Header">
    <w:name w:val="header"/>
    <w:basedOn w:val="Normal"/>
    <w:link w:val="HeaderChar"/>
    <w:uiPriority w:val="99"/>
    <w:unhideWhenUsed/>
    <w:rsid w:val="00C85513"/>
    <w:pPr>
      <w:tabs>
        <w:tab w:val="center" w:pos="4680"/>
        <w:tab w:val="right" w:pos="9360"/>
      </w:tabs>
    </w:pPr>
  </w:style>
  <w:style w:type="character" w:customStyle="1" w:styleId="HeaderChar">
    <w:name w:val="Header Char"/>
    <w:basedOn w:val="DefaultParagraphFont"/>
    <w:link w:val="Header"/>
    <w:uiPriority w:val="99"/>
    <w:locked/>
    <w:rsid w:val="00C85513"/>
    <w:rPr>
      <w:rFonts w:ascii="Times New Roman" w:hAnsi="Times New Roman" w:cs="Times New Roman"/>
      <w:sz w:val="24"/>
      <w:szCs w:val="24"/>
    </w:rPr>
  </w:style>
  <w:style w:type="paragraph" w:styleId="Footer">
    <w:name w:val="footer"/>
    <w:basedOn w:val="Normal"/>
    <w:link w:val="FooterChar"/>
    <w:uiPriority w:val="99"/>
    <w:unhideWhenUsed/>
    <w:rsid w:val="00C85513"/>
    <w:pPr>
      <w:tabs>
        <w:tab w:val="center" w:pos="4680"/>
        <w:tab w:val="right" w:pos="9360"/>
      </w:tabs>
    </w:pPr>
  </w:style>
  <w:style w:type="character" w:customStyle="1" w:styleId="FooterChar">
    <w:name w:val="Footer Char"/>
    <w:basedOn w:val="DefaultParagraphFont"/>
    <w:link w:val="Footer"/>
    <w:uiPriority w:val="99"/>
    <w:locked/>
    <w:rsid w:val="00C85513"/>
    <w:rPr>
      <w:rFonts w:ascii="Times New Roman" w:hAnsi="Times New Roman" w:cs="Times New Roman"/>
      <w:sz w:val="24"/>
      <w:szCs w:val="24"/>
    </w:rPr>
  </w:style>
  <w:style w:type="paragraph" w:styleId="Revision">
    <w:name w:val="Revision"/>
    <w:hidden/>
    <w:uiPriority w:val="99"/>
    <w:semiHidden/>
    <w:rsid w:val="009F3652"/>
    <w:pPr>
      <w:spacing w:after="0" w:line="240" w:lineRule="auto"/>
    </w:pPr>
    <w:rPr>
      <w:rFonts w:ascii="Times New Roman" w:hAnsi="Times New Roman"/>
      <w:sz w:val="24"/>
      <w:szCs w:val="24"/>
    </w:rPr>
  </w:style>
  <w:style w:type="paragraph" w:styleId="EndnoteText">
    <w:name w:val="endnote text"/>
    <w:basedOn w:val="Normal"/>
    <w:link w:val="EndnoteTextChar"/>
    <w:uiPriority w:val="99"/>
    <w:semiHidden/>
    <w:unhideWhenUsed/>
    <w:rsid w:val="00070F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0FD3"/>
    <w:rPr>
      <w:rFonts w:ascii="Times New Roman" w:hAnsi="Times New Roman"/>
      <w:sz w:val="20"/>
      <w:szCs w:val="20"/>
    </w:rPr>
  </w:style>
  <w:style w:type="character" w:styleId="EndnoteReference">
    <w:name w:val="endnote reference"/>
    <w:basedOn w:val="DefaultParagraphFont"/>
    <w:uiPriority w:val="99"/>
    <w:semiHidden/>
    <w:unhideWhenUsed/>
    <w:rsid w:val="00070FD3"/>
    <w:rPr>
      <w:vertAlign w:val="superscript"/>
    </w:rPr>
  </w:style>
  <w:style w:type="character" w:styleId="Emphasis">
    <w:name w:val="Emphasis"/>
    <w:basedOn w:val="DefaultParagraphFont"/>
    <w:uiPriority w:val="20"/>
    <w:qFormat/>
    <w:rPr>
      <w:i/>
      <w:iCs/>
    </w:rPr>
  </w:style>
  <w:style w:type="character" w:customStyle="1" w:styleId="counderline">
    <w:name w:val="co_underline"/>
    <w:basedOn w:val="DefaultParagraphFont"/>
    <w:rsid w:val="00A3682A"/>
  </w:style>
  <w:style w:type="character" w:customStyle="1" w:styleId="costarpage">
    <w:name w:val="co_starpage"/>
    <w:basedOn w:val="DefaultParagraphFont"/>
    <w:rsid w:val="00A3682A"/>
  </w:style>
  <w:style w:type="character" w:customStyle="1" w:styleId="coconcept17">
    <w:name w:val="co_concept_1_7"/>
    <w:basedOn w:val="DefaultParagraphFont"/>
    <w:rsid w:val="00A3682A"/>
  </w:style>
  <w:style w:type="character" w:customStyle="1" w:styleId="copinpointicon">
    <w:name w:val="co_pinpointicon"/>
    <w:basedOn w:val="DefaultParagraphFont"/>
    <w:rsid w:val="00A3682A"/>
  </w:style>
  <w:style w:type="character" w:customStyle="1" w:styleId="coconcept1222">
    <w:name w:val="co_concept_12_22"/>
    <w:basedOn w:val="DefaultParagraphFont"/>
    <w:rsid w:val="00A3682A"/>
  </w:style>
  <w:style w:type="character" w:customStyle="1" w:styleId="coconcept2733">
    <w:name w:val="co_concept_27_33"/>
    <w:basedOn w:val="DefaultParagraphFont"/>
    <w:rsid w:val="00A3682A"/>
  </w:style>
  <w:style w:type="paragraph" w:styleId="ListParagraph">
    <w:name w:val="List Paragraph"/>
    <w:basedOn w:val="Normal"/>
    <w:uiPriority w:val="34"/>
    <w:qFormat/>
    <w:rsid w:val="00C32C50"/>
    <w:pPr>
      <w:ind w:left="720"/>
      <w:contextualSpacing/>
    </w:pPr>
  </w:style>
  <w:style w:type="character" w:customStyle="1" w:styleId="Heading2Char">
    <w:name w:val="Heading 2 Char"/>
    <w:basedOn w:val="DefaultParagraphFont"/>
    <w:link w:val="Heading2"/>
    <w:uiPriority w:val="9"/>
    <w:rsid w:val="004B53ED"/>
    <w:rPr>
      <w:rFonts w:ascii="Times New Roman" w:hAnsi="Times New Roman"/>
      <w:i/>
      <w:iCs/>
      <w:sz w:val="24"/>
      <w:szCs w:val="24"/>
    </w:rPr>
  </w:style>
  <w:style w:type="paragraph" w:customStyle="1" w:styleId="pf0">
    <w:name w:val="pf0"/>
    <w:basedOn w:val="Normal"/>
    <w:rsid w:val="00A01284"/>
    <w:pPr>
      <w:spacing w:before="100" w:beforeAutospacing="1" w:after="100" w:afterAutospacing="1" w:line="240" w:lineRule="auto"/>
    </w:pPr>
    <w:rPr>
      <w:rFonts w:eastAsia="Times New Roman"/>
    </w:rPr>
  </w:style>
  <w:style w:type="character" w:customStyle="1" w:styleId="cf01">
    <w:name w:val="cf01"/>
    <w:basedOn w:val="DefaultParagraphFont"/>
    <w:rsid w:val="00A0128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016592">
      <w:bodyDiv w:val="1"/>
      <w:marLeft w:val="0"/>
      <w:marRight w:val="0"/>
      <w:marTop w:val="0"/>
      <w:marBottom w:val="0"/>
      <w:divBdr>
        <w:top w:val="none" w:sz="0" w:space="0" w:color="auto"/>
        <w:left w:val="none" w:sz="0" w:space="0" w:color="auto"/>
        <w:bottom w:val="none" w:sz="0" w:space="0" w:color="auto"/>
        <w:right w:val="none" w:sz="0" w:space="0" w:color="auto"/>
      </w:divBdr>
      <w:divsChild>
        <w:div w:id="1074887647">
          <w:marLeft w:val="0"/>
          <w:marRight w:val="0"/>
          <w:marTop w:val="0"/>
          <w:marBottom w:val="0"/>
          <w:divBdr>
            <w:top w:val="none" w:sz="0" w:space="0" w:color="3D3D3D"/>
            <w:left w:val="none" w:sz="0" w:space="0" w:color="3D3D3D"/>
            <w:bottom w:val="none" w:sz="0" w:space="0" w:color="3D3D3D"/>
            <w:right w:val="none" w:sz="0" w:space="0" w:color="3D3D3D"/>
          </w:divBdr>
          <w:divsChild>
            <w:div w:id="87781637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87933086">
      <w:bodyDiv w:val="1"/>
      <w:marLeft w:val="0"/>
      <w:marRight w:val="0"/>
      <w:marTop w:val="0"/>
      <w:marBottom w:val="0"/>
      <w:divBdr>
        <w:top w:val="none" w:sz="0" w:space="0" w:color="auto"/>
        <w:left w:val="none" w:sz="0" w:space="0" w:color="auto"/>
        <w:bottom w:val="none" w:sz="0" w:space="0" w:color="auto"/>
        <w:right w:val="none" w:sz="0" w:space="0" w:color="auto"/>
      </w:divBdr>
    </w:div>
    <w:div w:id="1318606560">
      <w:bodyDiv w:val="1"/>
      <w:marLeft w:val="0"/>
      <w:marRight w:val="0"/>
      <w:marTop w:val="0"/>
      <w:marBottom w:val="0"/>
      <w:divBdr>
        <w:top w:val="none" w:sz="0" w:space="0" w:color="auto"/>
        <w:left w:val="none" w:sz="0" w:space="0" w:color="auto"/>
        <w:bottom w:val="none" w:sz="0" w:space="0" w:color="auto"/>
        <w:right w:val="none" w:sz="0" w:space="0" w:color="auto"/>
      </w:divBdr>
    </w:div>
    <w:div w:id="1561599090">
      <w:bodyDiv w:val="1"/>
      <w:marLeft w:val="0"/>
      <w:marRight w:val="0"/>
      <w:marTop w:val="0"/>
      <w:marBottom w:val="0"/>
      <w:divBdr>
        <w:top w:val="none" w:sz="0" w:space="0" w:color="auto"/>
        <w:left w:val="none" w:sz="0" w:space="0" w:color="auto"/>
        <w:bottom w:val="none" w:sz="0" w:space="0" w:color="auto"/>
        <w:right w:val="none" w:sz="0" w:space="0" w:color="auto"/>
      </w:divBdr>
    </w:div>
    <w:div w:id="1939632847">
      <w:bodyDiv w:val="1"/>
      <w:marLeft w:val="0"/>
      <w:marRight w:val="0"/>
      <w:marTop w:val="0"/>
      <w:marBottom w:val="0"/>
      <w:divBdr>
        <w:top w:val="none" w:sz="0" w:space="0" w:color="auto"/>
        <w:left w:val="none" w:sz="0" w:space="0" w:color="auto"/>
        <w:bottom w:val="none" w:sz="0" w:space="0" w:color="auto"/>
        <w:right w:val="none" w:sz="0" w:space="0" w:color="auto"/>
      </w:divBdr>
    </w:div>
    <w:div w:id="2052880843">
      <w:marLeft w:val="0"/>
      <w:marRight w:val="0"/>
      <w:marTop w:val="0"/>
      <w:marBottom w:val="0"/>
      <w:divBdr>
        <w:top w:val="none" w:sz="0" w:space="0" w:color="auto"/>
        <w:left w:val="none" w:sz="0" w:space="0" w:color="auto"/>
        <w:bottom w:val="none" w:sz="0" w:space="0" w:color="auto"/>
        <w:right w:val="none" w:sz="0" w:space="0" w:color="auto"/>
      </w:divBdr>
    </w:div>
    <w:div w:id="2052880844">
      <w:marLeft w:val="0"/>
      <w:marRight w:val="0"/>
      <w:marTop w:val="0"/>
      <w:marBottom w:val="0"/>
      <w:divBdr>
        <w:top w:val="none" w:sz="0" w:space="0" w:color="auto"/>
        <w:left w:val="none" w:sz="0" w:space="0" w:color="auto"/>
        <w:bottom w:val="none" w:sz="0" w:space="0" w:color="auto"/>
        <w:right w:val="none" w:sz="0" w:space="0" w:color="auto"/>
      </w:divBdr>
    </w:div>
    <w:div w:id="2052880845">
      <w:marLeft w:val="0"/>
      <w:marRight w:val="0"/>
      <w:marTop w:val="0"/>
      <w:marBottom w:val="0"/>
      <w:divBdr>
        <w:top w:val="none" w:sz="0" w:space="0" w:color="auto"/>
        <w:left w:val="none" w:sz="0" w:space="0" w:color="auto"/>
        <w:bottom w:val="none" w:sz="0" w:space="0" w:color="auto"/>
        <w:right w:val="none" w:sz="0" w:space="0" w:color="auto"/>
      </w:divBdr>
    </w:div>
    <w:div w:id="2052880846">
      <w:marLeft w:val="0"/>
      <w:marRight w:val="0"/>
      <w:marTop w:val="0"/>
      <w:marBottom w:val="0"/>
      <w:divBdr>
        <w:top w:val="none" w:sz="0" w:space="0" w:color="auto"/>
        <w:left w:val="none" w:sz="0" w:space="0" w:color="auto"/>
        <w:bottom w:val="none" w:sz="0" w:space="0" w:color="auto"/>
        <w:right w:val="none" w:sz="0" w:space="0" w:color="auto"/>
      </w:divBdr>
    </w:div>
    <w:div w:id="2052880847">
      <w:marLeft w:val="0"/>
      <w:marRight w:val="0"/>
      <w:marTop w:val="0"/>
      <w:marBottom w:val="0"/>
      <w:divBdr>
        <w:top w:val="none" w:sz="0" w:space="0" w:color="auto"/>
        <w:left w:val="none" w:sz="0" w:space="0" w:color="auto"/>
        <w:bottom w:val="none" w:sz="0" w:space="0" w:color="auto"/>
        <w:right w:val="none" w:sz="0" w:space="0" w:color="auto"/>
      </w:divBdr>
    </w:div>
    <w:div w:id="20528808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archives.lib.state.ma.us/bitstream/handle/2452/846228/on1259693110.pdf?sequence=1&amp;isAllowed=y" TargetMode="External"/><Relationship Id="rId3" Type="http://schemas.openxmlformats.org/officeDocument/2006/relationships/hyperlink" Target="https://www.mass.gov/doc/enhanced-outpatient-treatment-pilot-legislative-report-fiscal-year-2022/download" TargetMode="External"/><Relationship Id="rId7" Type="http://schemas.openxmlformats.org/officeDocument/2006/relationships/hyperlink" Target="https://www.mass.gov/roadmap-for-behavioral-health-reform" TargetMode="External"/><Relationship Id="rId2" Type="http://schemas.openxmlformats.org/officeDocument/2006/relationships/hyperlink" Target="https://www.ndrn.org/images/PAIMI/Bazelon_Murphy_bill_-_impact_based_on_race_-_2013.pdf" TargetMode="External"/><Relationship Id="rId1" Type="http://schemas.openxmlformats.org/officeDocument/2006/relationships/hyperlink" Target="https://psychrights.org/research/digest/OutPtCmmtmnt/UKRptonCTO.pdf" TargetMode="External"/><Relationship Id="rId6" Type="http://schemas.openxmlformats.org/officeDocument/2006/relationships/hyperlink" Target="https://www.healthaffairs.org/do/10.1377/forefront.20180329.955541/full/" TargetMode="External"/><Relationship Id="rId5" Type="http://schemas.openxmlformats.org/officeDocument/2006/relationships/hyperlink" Target="https://view.officeapps.live.com/op/view.aspx?src=https%3A%2F%2Fwww.bmc.org%2Fsites%2Fdefault%2Ffiles%2FPatient_Care%2FSpecialty_Care%2FPsych%2FBOAT%2FInformation_Sheet_BOAT.docx&amp;wdOrigin=BROWSELINK" TargetMode="External"/><Relationship Id="rId4" Type="http://schemas.openxmlformats.org/officeDocument/2006/relationships/hyperlink" Target="https://www.mass.gov/news/trial-court-awarded-two-federal-grants-to-expand-court-based-mental-health-and-substance-use-disorder-services-for-specialty-courts-in-boston-and-springfield" TargetMode="External"/><Relationship Id="rId9" Type="http://schemas.openxmlformats.org/officeDocument/2006/relationships/hyperlink" Target="https://www.mass.gov/info-details/roadmap-for-behavioral-health-reform-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1097da-6109-435e-9a16-d866e0b0e213">
      <Terms xmlns="http://schemas.microsoft.com/office/infopath/2007/PartnerControls"/>
    </lcf76f155ced4ddcb4097134ff3c332f>
    <_ip_UnifiedCompliancePolicyProperties xmlns="http://schemas.microsoft.com/sharepoint/v3" xsi:nil="true"/>
    <TaxCatchAll xmlns="56592eea-cc5f-4fff-8298-392fb3c432d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7B936961E720C448E433FD7DB7981B7" ma:contentTypeVersion="19" ma:contentTypeDescription="Create a new document." ma:contentTypeScope="" ma:versionID="68fce9a31957890b41d4346cb50f8805">
  <xsd:schema xmlns:xsd="http://www.w3.org/2001/XMLSchema" xmlns:xs="http://www.w3.org/2001/XMLSchema" xmlns:p="http://schemas.microsoft.com/office/2006/metadata/properties" xmlns:ns1="http://schemas.microsoft.com/sharepoint/v3" xmlns:ns2="ee1097da-6109-435e-9a16-d866e0b0e213" xmlns:ns3="56592eea-cc5f-4fff-8298-392fb3c432d3" targetNamespace="http://schemas.microsoft.com/office/2006/metadata/properties" ma:root="true" ma:fieldsID="2d9bbb9695391e00f59de44755f17451" ns1:_="" ns2:_="" ns3:_="">
    <xsd:import namespace="http://schemas.microsoft.com/sharepoint/v3"/>
    <xsd:import namespace="ee1097da-6109-435e-9a16-d866e0b0e213"/>
    <xsd:import namespace="56592eea-cc5f-4fff-8298-392fb3c432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097da-6109-435e-9a16-d866e0b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37df51-c002-4ec9-96b6-dae6ccd68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592eea-cc5f-4fff-8298-392fb3c432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8149-7839-4a4d-9bda-bde3a2b6b99e}" ma:internalName="TaxCatchAll" ma:showField="CatchAllData" ma:web="56592eea-cc5f-4fff-8298-392fb3c43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1B1B74-6B5C-4969-A935-B67DE206A418}">
  <ds:schemaRefs>
    <ds:schemaRef ds:uri="http://schemas.microsoft.com/sharepoint/v3/contenttype/forms"/>
  </ds:schemaRefs>
</ds:datastoreItem>
</file>

<file path=customXml/itemProps2.xml><?xml version="1.0" encoding="utf-8"?>
<ds:datastoreItem xmlns:ds="http://schemas.openxmlformats.org/officeDocument/2006/customXml" ds:itemID="{7E4D8996-B9D2-4406-8884-DC57A1331B8D}">
  <ds:schemaRefs>
    <ds:schemaRef ds:uri="http://schemas.openxmlformats.org/officeDocument/2006/bibliography"/>
  </ds:schemaRefs>
</ds:datastoreItem>
</file>

<file path=customXml/itemProps3.xml><?xml version="1.0" encoding="utf-8"?>
<ds:datastoreItem xmlns:ds="http://schemas.openxmlformats.org/officeDocument/2006/customXml" ds:itemID="{41AAED1E-72A0-4718-9166-89236069F9BA}">
  <ds:schemaRefs>
    <ds:schemaRef ds:uri="http://schemas.microsoft.com/office/2006/metadata/properties"/>
    <ds:schemaRef ds:uri="http://schemas.microsoft.com/office/infopath/2007/PartnerControls"/>
    <ds:schemaRef ds:uri="http://schemas.microsoft.com/sharepoint/v3"/>
    <ds:schemaRef ds:uri="ee1097da-6109-435e-9a16-d866e0b0e213"/>
    <ds:schemaRef ds:uri="56592eea-cc5f-4fff-8298-392fb3c432d3"/>
  </ds:schemaRefs>
</ds:datastoreItem>
</file>

<file path=customXml/itemProps4.xml><?xml version="1.0" encoding="utf-8"?>
<ds:datastoreItem xmlns:ds="http://schemas.openxmlformats.org/officeDocument/2006/customXml" ds:itemID="{4CDDB987-E413-4F88-927D-A0837CE8C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1097da-6109-435e-9a16-d866e0b0e213"/>
    <ds:schemaRef ds:uri="56592eea-cc5f-4fff-8298-392fb3c43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4608</Words>
  <Characters>27757</Characters>
  <Application>Microsoft Office Word</Application>
  <DocSecurity>4</DocSecurity>
  <Lines>231</Lines>
  <Paragraphs>64</Paragraphs>
  <ScaleCrop>false</ScaleCrop>
  <HeadingPairs>
    <vt:vector size="2" baseType="variant">
      <vt:variant>
        <vt:lpstr>Title</vt:lpstr>
      </vt:variant>
      <vt:variant>
        <vt:i4>1</vt:i4>
      </vt:variant>
    </vt:vector>
  </HeadingPairs>
  <TitlesOfParts>
    <vt:vector size="1" baseType="lpstr">
      <vt:lpstr>Microsoft Word - IOC White Paper Final.doc</vt:lpstr>
    </vt:vector>
  </TitlesOfParts>
  <Company/>
  <LinksUpToDate>false</LinksUpToDate>
  <CharactersWithSpaces>32301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IOC White Paper Final.doc</dc:title>
  <dc:subject/>
  <dc:creator>Bob</dc:creator>
  <cp:keywords/>
  <dc:description/>
  <cp:lastModifiedBy>Steven Schwartz</cp:lastModifiedBy>
  <cp:revision>2</cp:revision>
  <cp:lastPrinted>2023-04-25T17:04:00Z</cp:lastPrinted>
  <dcterms:created xsi:type="dcterms:W3CDTF">2023-10-23T23:55:00Z</dcterms:created>
  <dcterms:modified xsi:type="dcterms:W3CDTF">2023-10-23T23:55:00Z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0x010100B7B936961E720C448E433FD7DB7981B7</vt:lpwstr>
  </property>
  <property fmtid="{D5CDD505-2E9C-101B-9397-08002B2CF9AE}" pid="3" name="MediaServiceImageTags">
    <vt:lpwstr/>
  </property>
</Properties>
</file>